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208" w:rsidRDefault="007F2208" w:rsidP="00185447">
      <w:pPr>
        <w:pStyle w:val="Title"/>
      </w:pPr>
      <w:r>
        <w:t>HPCC Cluster Computing Services</w:t>
      </w:r>
    </w:p>
    <w:p w:rsidR="007F2208" w:rsidRDefault="007F2208"/>
    <w:p w:rsidR="00447873" w:rsidRPr="00185447" w:rsidRDefault="00447873">
      <w:pPr>
        <w:rPr>
          <w:b/>
        </w:rPr>
      </w:pPr>
      <w:r w:rsidRPr="00185447">
        <w:rPr>
          <w:b/>
        </w:rPr>
        <w:t>Major computing resources:</w:t>
      </w:r>
    </w:p>
    <w:p w:rsidR="00F37D6B" w:rsidRDefault="007F2208">
      <w:pPr>
        <w:numPr>
          <w:ilvl w:val="0"/>
          <w:numId w:val="1"/>
        </w:numPr>
      </w:pPr>
      <w:r>
        <w:t xml:space="preserve">Hrothgar </w:t>
      </w:r>
    </w:p>
    <w:p w:rsidR="00F37D6B" w:rsidRDefault="00F37D6B" w:rsidP="00F37D6B">
      <w:pPr>
        <w:numPr>
          <w:ilvl w:val="1"/>
          <w:numId w:val="1"/>
        </w:numPr>
      </w:pPr>
      <w:r>
        <w:t>I</w:t>
      </w:r>
      <w:r w:rsidR="00004276">
        <w:t xml:space="preserve">nstalled in ’05 and upgraded </w:t>
      </w:r>
      <w:r w:rsidR="00AE4509">
        <w:t>in ’06,</w:t>
      </w:r>
      <w:r>
        <w:t xml:space="preserve"> </w:t>
      </w:r>
      <w:r w:rsidR="00004276">
        <w:t>’07</w:t>
      </w:r>
      <w:r w:rsidR="00165CA9">
        <w:t xml:space="preserve">, </w:t>
      </w:r>
      <w:r w:rsidR="00AE4509">
        <w:t>’09</w:t>
      </w:r>
      <w:r w:rsidR="00165CA9">
        <w:t xml:space="preserve"> and ‘10</w:t>
      </w:r>
    </w:p>
    <w:p w:rsidR="00F37D6B" w:rsidRDefault="00E745CA" w:rsidP="00F37D6B">
      <w:pPr>
        <w:numPr>
          <w:ilvl w:val="1"/>
          <w:numId w:val="1"/>
        </w:numPr>
      </w:pPr>
      <w:r>
        <w:t>72</w:t>
      </w:r>
      <w:r w:rsidR="00ED0509">
        <w:t xml:space="preserve"> teraflops in 768</w:t>
      </w:r>
      <w:r w:rsidR="00AE4509">
        <w:t>0 2.8</w:t>
      </w:r>
      <w:r w:rsidR="00F37D6B">
        <w:t xml:space="preserve"> GHz co</w:t>
      </w:r>
      <w:r>
        <w:t>res and 12.3 teraflops in 1024 3.0</w:t>
      </w:r>
      <w:r w:rsidR="00F37D6B">
        <w:t xml:space="preserve"> GHz cores</w:t>
      </w:r>
    </w:p>
    <w:p w:rsidR="00F37D6B" w:rsidRDefault="00F37D6B" w:rsidP="00F37D6B">
      <w:pPr>
        <w:numPr>
          <w:ilvl w:val="1"/>
          <w:numId w:val="1"/>
        </w:numPr>
      </w:pPr>
      <w:r>
        <w:t>1</w:t>
      </w:r>
      <w:r w:rsidR="00615586">
        <w:t>7.408</w:t>
      </w:r>
      <w:r w:rsidR="00AE4509">
        <w:t xml:space="preserve"> terabytes of memory and 1 peta</w:t>
      </w:r>
      <w:r>
        <w:t xml:space="preserve">bytes of </w:t>
      </w:r>
      <w:r w:rsidR="00615586">
        <w:t xml:space="preserve">DDN </w:t>
      </w:r>
      <w:r>
        <w:t>storage</w:t>
      </w:r>
    </w:p>
    <w:p w:rsidR="00447873" w:rsidRDefault="00165CA9" w:rsidP="00F37D6B">
      <w:pPr>
        <w:numPr>
          <w:ilvl w:val="1"/>
          <w:numId w:val="1"/>
        </w:numPr>
      </w:pPr>
      <w:r>
        <w:t>D</w:t>
      </w:r>
      <w:r w:rsidR="00447873">
        <w:t>DR Infiniband for MPI communications and GigE for management</w:t>
      </w:r>
    </w:p>
    <w:p w:rsidR="00447873" w:rsidRDefault="00AE4509" w:rsidP="00F37D6B">
      <w:pPr>
        <w:numPr>
          <w:ilvl w:val="1"/>
          <w:numId w:val="1"/>
        </w:numPr>
      </w:pPr>
      <w:r>
        <w:t xml:space="preserve">Additional </w:t>
      </w:r>
      <w:r w:rsidR="001C536F">
        <w:t>4</w:t>
      </w:r>
      <w:r>
        <w:t>6</w:t>
      </w:r>
      <w:r w:rsidR="00E745CA">
        <w:t xml:space="preserve"> nodes </w:t>
      </w:r>
      <w:r w:rsidR="00447873">
        <w:t>part of a community cluster</w:t>
      </w:r>
    </w:p>
    <w:p w:rsidR="00447873" w:rsidRDefault="007F2208">
      <w:pPr>
        <w:numPr>
          <w:ilvl w:val="0"/>
          <w:numId w:val="1"/>
        </w:numPr>
      </w:pPr>
      <w:proofErr w:type="spellStart"/>
      <w:r>
        <w:t>Antaeus</w:t>
      </w:r>
      <w:proofErr w:type="spellEnd"/>
    </w:p>
    <w:p w:rsidR="00447873" w:rsidRDefault="00F5536B" w:rsidP="00447873">
      <w:pPr>
        <w:numPr>
          <w:ilvl w:val="1"/>
          <w:numId w:val="1"/>
        </w:numPr>
      </w:pPr>
      <w:r>
        <w:t>Installed in ’06</w:t>
      </w:r>
      <w:r w:rsidR="00165CA9">
        <w:t xml:space="preserve"> upgraded in ‘11</w:t>
      </w:r>
    </w:p>
    <w:p w:rsidR="00F615CE" w:rsidRDefault="00447873" w:rsidP="00F615CE">
      <w:pPr>
        <w:numPr>
          <w:ilvl w:val="1"/>
          <w:numId w:val="1"/>
        </w:numPr>
      </w:pPr>
      <w:r>
        <w:t>Community</w:t>
      </w:r>
      <w:r w:rsidR="007F2208">
        <w:t xml:space="preserve"> cluster</w:t>
      </w:r>
      <w:r>
        <w:t xml:space="preserve"> for grid work</w:t>
      </w:r>
      <w:r w:rsidR="00F615CE" w:rsidRPr="00F615CE">
        <w:t xml:space="preserve"> </w:t>
      </w:r>
      <w:r w:rsidR="00783FF1">
        <w:t>and high energy physics</w:t>
      </w:r>
    </w:p>
    <w:p w:rsidR="00F615CE" w:rsidRDefault="008256FB" w:rsidP="00F615CE">
      <w:pPr>
        <w:numPr>
          <w:ilvl w:val="1"/>
          <w:numId w:val="1"/>
        </w:numPr>
      </w:pPr>
      <w:r>
        <w:t>5.9 teraflops over 496 3.0 GHz cores</w:t>
      </w:r>
    </w:p>
    <w:p w:rsidR="00447873" w:rsidRDefault="00F615CE" w:rsidP="00F615CE">
      <w:pPr>
        <w:numPr>
          <w:ilvl w:val="1"/>
          <w:numId w:val="1"/>
        </w:numPr>
      </w:pPr>
      <w:r>
        <w:t>7936 gigabytes of memory and  106 terabytes of lustre storage</w:t>
      </w:r>
    </w:p>
    <w:p w:rsidR="00447873" w:rsidRDefault="00447873" w:rsidP="00447873">
      <w:pPr>
        <w:numPr>
          <w:ilvl w:val="1"/>
          <w:numId w:val="1"/>
        </w:numPr>
      </w:pPr>
      <w:r>
        <w:t>GigE only</w:t>
      </w:r>
    </w:p>
    <w:p w:rsidR="00447873" w:rsidRDefault="00447873" w:rsidP="00447873">
      <w:pPr>
        <w:numPr>
          <w:ilvl w:val="0"/>
          <w:numId w:val="1"/>
        </w:numPr>
      </w:pPr>
      <w:r>
        <w:t>TechGrid</w:t>
      </w:r>
    </w:p>
    <w:p w:rsidR="00E9486E" w:rsidRDefault="00F615CE" w:rsidP="00E9486E">
      <w:pPr>
        <w:numPr>
          <w:ilvl w:val="1"/>
          <w:numId w:val="1"/>
        </w:numPr>
      </w:pPr>
      <w:r>
        <w:t>10</w:t>
      </w:r>
      <w:r w:rsidR="00E9486E">
        <w:t>00 desktop machines in a Condor grid</w:t>
      </w:r>
    </w:p>
    <w:p w:rsidR="00E9486E" w:rsidRDefault="00E9486E" w:rsidP="00E9486E">
      <w:pPr>
        <w:numPr>
          <w:ilvl w:val="1"/>
          <w:numId w:val="1"/>
        </w:numPr>
      </w:pPr>
      <w:r>
        <w:t>Used during times that machines would otherwise be inactive</w:t>
      </w:r>
    </w:p>
    <w:p w:rsidR="00E9486E" w:rsidRDefault="00E9486E" w:rsidP="00E9486E">
      <w:pPr>
        <w:numPr>
          <w:ilvl w:val="1"/>
          <w:numId w:val="1"/>
        </w:numPr>
      </w:pPr>
      <w:r>
        <w:t xml:space="preserve">Single jobs can run 100’s of iterations simultaneously.  </w:t>
      </w:r>
    </w:p>
    <w:p w:rsidR="00F5536B" w:rsidRDefault="00F5536B" w:rsidP="00F5536B">
      <w:pPr>
        <w:numPr>
          <w:ilvl w:val="0"/>
          <w:numId w:val="1"/>
        </w:numPr>
      </w:pPr>
      <w:r>
        <w:t>Weland</w:t>
      </w:r>
    </w:p>
    <w:p w:rsidR="00F5536B" w:rsidRDefault="00F5536B" w:rsidP="00F5536B">
      <w:pPr>
        <w:numPr>
          <w:ilvl w:val="1"/>
          <w:numId w:val="1"/>
        </w:numPr>
      </w:pPr>
      <w:r>
        <w:t>Installed ‘10</w:t>
      </w:r>
    </w:p>
    <w:p w:rsidR="00F5536B" w:rsidRDefault="00F5536B" w:rsidP="00F5536B">
      <w:pPr>
        <w:numPr>
          <w:ilvl w:val="1"/>
          <w:numId w:val="1"/>
        </w:numPr>
      </w:pPr>
      <w:r>
        <w:t>Cluster for grid work</w:t>
      </w:r>
    </w:p>
    <w:p w:rsidR="00F5536B" w:rsidRDefault="00AE4509" w:rsidP="00F5536B">
      <w:pPr>
        <w:numPr>
          <w:ilvl w:val="1"/>
          <w:numId w:val="1"/>
        </w:numPr>
      </w:pPr>
      <w:r>
        <w:t>1.295 teraflops over 128 2.53 GHz cores</w:t>
      </w:r>
    </w:p>
    <w:p w:rsidR="00AE4509" w:rsidRDefault="00AE4509" w:rsidP="00F5536B">
      <w:pPr>
        <w:numPr>
          <w:ilvl w:val="1"/>
          <w:numId w:val="1"/>
        </w:numPr>
      </w:pPr>
      <w:r>
        <w:t xml:space="preserve">384 gigabytes of memory </w:t>
      </w:r>
      <w:r w:rsidR="00256205">
        <w:t xml:space="preserve">and </w:t>
      </w:r>
      <w:r>
        <w:t xml:space="preserve">mounts </w:t>
      </w:r>
      <w:r w:rsidR="00256205">
        <w:t>106 terabyte antaeus storage system.</w:t>
      </w:r>
    </w:p>
    <w:p w:rsidR="00165CA9" w:rsidRDefault="00165CA9" w:rsidP="00F5536B">
      <w:pPr>
        <w:numPr>
          <w:ilvl w:val="1"/>
          <w:numId w:val="1"/>
        </w:numPr>
      </w:pPr>
      <w:r>
        <w:t>16 GigE nodes with 8 capable of DDR Infiniband</w:t>
      </w:r>
    </w:p>
    <w:p w:rsidR="003A27C2" w:rsidRDefault="003A27C2" w:rsidP="003A27C2">
      <w:pPr>
        <w:numPr>
          <w:ilvl w:val="0"/>
          <w:numId w:val="1"/>
        </w:numPr>
      </w:pPr>
      <w:r>
        <w:t>Jan</w:t>
      </w:r>
      <w:r w:rsidR="001C536F">
        <w:t>u</w:t>
      </w:r>
      <w:r>
        <w:t>s</w:t>
      </w:r>
    </w:p>
    <w:p w:rsidR="003A27C2" w:rsidRDefault="003A27C2" w:rsidP="003A27C2">
      <w:pPr>
        <w:numPr>
          <w:ilvl w:val="1"/>
          <w:numId w:val="1"/>
        </w:numPr>
      </w:pPr>
      <w:r>
        <w:t>Upgraded in ‘11</w:t>
      </w:r>
    </w:p>
    <w:p w:rsidR="003A27C2" w:rsidRDefault="003A27C2" w:rsidP="003A27C2">
      <w:pPr>
        <w:numPr>
          <w:ilvl w:val="1"/>
          <w:numId w:val="1"/>
        </w:numPr>
      </w:pPr>
      <w:r>
        <w:t>Microsoft Windows HPC cluster</w:t>
      </w:r>
    </w:p>
    <w:p w:rsidR="00F23D1B" w:rsidRPr="00963281" w:rsidRDefault="00B00986" w:rsidP="00F23D1B">
      <w:pPr>
        <w:pStyle w:val="ListParagraph"/>
        <w:numPr>
          <w:ilvl w:val="1"/>
          <w:numId w:val="1"/>
        </w:numPr>
      </w:pPr>
      <w:r w:rsidRPr="00963281">
        <w:t>One</w:t>
      </w:r>
      <w:r w:rsidR="00F23D1B" w:rsidRPr="00963281">
        <w:t xml:space="preserve"> Dell PowerEdge R510 </w:t>
      </w:r>
      <w:r w:rsidRPr="00963281">
        <w:t xml:space="preserve">login </w:t>
      </w:r>
      <w:r w:rsidR="00F23D1B" w:rsidRPr="00963281">
        <w:t>server, with eight 2.4 G</w:t>
      </w:r>
      <w:r w:rsidRPr="00963281">
        <w:t>Hz cores, 24 gigabytes of memory and 20 terabytes</w:t>
      </w:r>
      <w:r w:rsidR="00F23D1B" w:rsidRPr="00963281">
        <w:t xml:space="preserve"> </w:t>
      </w:r>
      <w:r w:rsidRPr="00963281">
        <w:t xml:space="preserve">of </w:t>
      </w:r>
      <w:r w:rsidR="00F23D1B" w:rsidRPr="00963281">
        <w:t xml:space="preserve">shared storage. </w:t>
      </w:r>
    </w:p>
    <w:p w:rsidR="00F23D1B" w:rsidRPr="00963281" w:rsidRDefault="00F23D1B" w:rsidP="00F23D1B">
      <w:pPr>
        <w:pStyle w:val="ListParagraph"/>
        <w:numPr>
          <w:ilvl w:val="1"/>
          <w:numId w:val="1"/>
        </w:numPr>
      </w:pPr>
      <w:r w:rsidRPr="00963281">
        <w:t>18 compute nodes, each node is a Dell PowerEdge 1950</w:t>
      </w:r>
      <w:r w:rsidR="00B00986" w:rsidRPr="00963281">
        <w:t xml:space="preserve"> server, with eight 3 GHz cores and 16 gigabytes</w:t>
      </w:r>
      <w:r w:rsidRPr="00963281">
        <w:t xml:space="preserve"> memory</w:t>
      </w:r>
      <w:r w:rsidR="00211773" w:rsidRPr="00963281">
        <w:t xml:space="preserve"> each</w:t>
      </w:r>
      <w:r w:rsidR="00B00986" w:rsidRPr="00963281">
        <w:t xml:space="preserve"> node</w:t>
      </w:r>
      <w:r w:rsidRPr="00963281">
        <w:t xml:space="preserve">. </w:t>
      </w:r>
    </w:p>
    <w:p w:rsidR="00BB525D" w:rsidRPr="00963281" w:rsidRDefault="00BB525D" w:rsidP="003A27C2">
      <w:pPr>
        <w:numPr>
          <w:ilvl w:val="1"/>
          <w:numId w:val="1"/>
        </w:numPr>
      </w:pPr>
      <w:r w:rsidRPr="00963281">
        <w:t>GigE only</w:t>
      </w:r>
    </w:p>
    <w:p w:rsidR="007E7894" w:rsidRDefault="007E7894" w:rsidP="007E7894">
      <w:pPr>
        <w:numPr>
          <w:ilvl w:val="0"/>
          <w:numId w:val="1"/>
        </w:numPr>
      </w:pPr>
      <w:r>
        <w:t xml:space="preserve">TACC </w:t>
      </w:r>
      <w:r w:rsidR="001F2ECB">
        <w:t>L</w:t>
      </w:r>
      <w:r>
        <w:t>onestar</w:t>
      </w:r>
    </w:p>
    <w:p w:rsidR="007E7894" w:rsidRDefault="007E7894" w:rsidP="007E7894">
      <w:pPr>
        <w:numPr>
          <w:ilvl w:val="1"/>
          <w:numId w:val="1"/>
        </w:numPr>
      </w:pPr>
      <w:r>
        <w:t>Became operational in ‘11</w:t>
      </w:r>
    </w:p>
    <w:p w:rsidR="007E7894" w:rsidRDefault="007E7894" w:rsidP="007E7894">
      <w:pPr>
        <w:numPr>
          <w:ilvl w:val="1"/>
          <w:numId w:val="1"/>
        </w:numPr>
      </w:pPr>
      <w:r>
        <w:t>9,000,000 core hours per year have been purchased by TTU IT</w:t>
      </w:r>
      <w:r w:rsidR="00FC7BE2">
        <w:t xml:space="preserve"> for TTU researchers.</w:t>
      </w:r>
    </w:p>
    <w:p w:rsidR="007E7894" w:rsidRDefault="007E7894" w:rsidP="007E7894">
      <w:pPr>
        <w:numPr>
          <w:ilvl w:val="1"/>
          <w:numId w:val="1"/>
        </w:numPr>
      </w:pPr>
      <w:r>
        <w:t>302 teraflops over 22,656</w:t>
      </w:r>
      <w:r w:rsidR="00FC7BE2">
        <w:t xml:space="preserve"> 3.33 GHz cores.</w:t>
      </w:r>
    </w:p>
    <w:p w:rsidR="00FC7BE2" w:rsidRDefault="00FC7BE2" w:rsidP="007E7894">
      <w:pPr>
        <w:numPr>
          <w:ilvl w:val="1"/>
          <w:numId w:val="1"/>
        </w:numPr>
      </w:pPr>
      <w:r>
        <w:t>44 terabytes of memory and 1276 terabytes of storage</w:t>
      </w:r>
    </w:p>
    <w:p w:rsidR="001F787C" w:rsidRDefault="00B00986" w:rsidP="007E7894">
      <w:pPr>
        <w:numPr>
          <w:ilvl w:val="1"/>
          <w:numId w:val="1"/>
        </w:numPr>
      </w:pPr>
      <w:r>
        <w:t>F</w:t>
      </w:r>
      <w:r w:rsidR="001F787C">
        <w:t xml:space="preserve">ive </w:t>
      </w:r>
      <w:r w:rsidR="00F326EC">
        <w:t xml:space="preserve">large memory </w:t>
      </w:r>
      <w:r w:rsidR="001F787C">
        <w:t xml:space="preserve">nodes, six cores each, each </w:t>
      </w:r>
      <w:r w:rsidR="00A520C9">
        <w:t>node has</w:t>
      </w:r>
      <w:r w:rsidR="001F787C">
        <w:t xml:space="preserve"> 1TB of memory.</w:t>
      </w:r>
    </w:p>
    <w:p w:rsidR="001F787C" w:rsidRDefault="00B00986" w:rsidP="007E7894">
      <w:pPr>
        <w:numPr>
          <w:ilvl w:val="1"/>
          <w:numId w:val="1"/>
        </w:numPr>
      </w:pPr>
      <w:r>
        <w:t>E</w:t>
      </w:r>
      <w:r w:rsidR="001F787C">
        <w:t xml:space="preserve">ight </w:t>
      </w:r>
      <w:r w:rsidR="00F326EC">
        <w:t xml:space="preserve">GPU </w:t>
      </w:r>
      <w:r w:rsidR="001F787C">
        <w:t xml:space="preserve">nodes each </w:t>
      </w:r>
      <w:r w:rsidR="00A520C9">
        <w:t>node has</w:t>
      </w:r>
      <w:r w:rsidR="001F787C">
        <w:t xml:space="preserve"> two NVIDIA M2070 GPUs.</w:t>
      </w:r>
    </w:p>
    <w:p w:rsidR="00FC7BE2" w:rsidRDefault="00FC7BE2" w:rsidP="007E7894">
      <w:pPr>
        <w:numPr>
          <w:ilvl w:val="1"/>
          <w:numId w:val="1"/>
        </w:numPr>
      </w:pPr>
      <w:r>
        <w:t>QDR infinband for MPI communications</w:t>
      </w:r>
    </w:p>
    <w:p w:rsidR="007F2208" w:rsidRDefault="007F2208"/>
    <w:p w:rsidR="00CC2645" w:rsidRDefault="00CC2645"/>
    <w:p w:rsidR="00447873" w:rsidRPr="00185447" w:rsidRDefault="00447873">
      <w:pPr>
        <w:rPr>
          <w:b/>
        </w:rPr>
      </w:pPr>
      <w:r w:rsidRPr="00185447">
        <w:rPr>
          <w:b/>
        </w:rPr>
        <w:t xml:space="preserve">Community </w:t>
      </w:r>
      <w:r w:rsidR="00C82F67">
        <w:rPr>
          <w:b/>
        </w:rPr>
        <w:t>C</w:t>
      </w:r>
      <w:r w:rsidRPr="00185447">
        <w:rPr>
          <w:b/>
        </w:rPr>
        <w:t>luster</w:t>
      </w:r>
    </w:p>
    <w:p w:rsidR="00FC5734" w:rsidRDefault="00FC5734"/>
    <w:p w:rsidR="005A0377" w:rsidRDefault="00FC5734" w:rsidP="00FC5734">
      <w:r>
        <w:t>On the major shared re</w:t>
      </w:r>
      <w:r w:rsidR="00881A67">
        <w:t>sources like Hrothgar, An</w:t>
      </w:r>
      <w:r w:rsidR="00EC1D3B">
        <w:t>taeus and W</w:t>
      </w:r>
      <w:r w:rsidR="00881A67">
        <w:t>eland</w:t>
      </w:r>
      <w:r>
        <w:t>, scheduling software is used to allocate computing capacity in a reasonably fair manner.  If you need additional computing capacity beyond this and you are considering buying a cluster</w:t>
      </w:r>
      <w:r w:rsidR="005D7B44">
        <w:t xml:space="preserve">, </w:t>
      </w:r>
      <w:r w:rsidR="005A0377">
        <w:t xml:space="preserve">talk with us about the community cluster option.  </w:t>
      </w:r>
      <w:r w:rsidR="00C82F67">
        <w:t>Additions to the Community Cluster are subject to space or infrastructure limitations. Please check with the HPCC staff for the current status of the Community Cluster.</w:t>
      </w:r>
    </w:p>
    <w:p w:rsidR="00963281" w:rsidRDefault="00963281" w:rsidP="00FC5734"/>
    <w:p w:rsidR="00FC5734" w:rsidRDefault="005A0377" w:rsidP="00FC5734">
      <w:r>
        <w:t xml:space="preserve">In the </w:t>
      </w:r>
      <w:r w:rsidR="00C82F67">
        <w:t>C</w:t>
      </w:r>
      <w:r>
        <w:t xml:space="preserve">ommunity </w:t>
      </w:r>
      <w:r w:rsidR="00C82F67">
        <w:t>C</w:t>
      </w:r>
      <w:r>
        <w:t>luster</w:t>
      </w:r>
      <w:r w:rsidR="00FC5734">
        <w:t xml:space="preserve"> you will buy nodes that are part of a larger cluster, and you will get priority access equal to the nodes you purchased.  We will house, operate and maintain the resources as long as they are in warranty</w:t>
      </w:r>
      <w:r w:rsidR="007E7894">
        <w:t xml:space="preserve">. This is typically three years. </w:t>
      </w:r>
      <w:r w:rsidR="00FC5734" w:rsidRPr="00963281">
        <w:t xml:space="preserve">Contact us for more details.  </w:t>
      </w:r>
    </w:p>
    <w:p w:rsidR="00447873" w:rsidRDefault="00447873"/>
    <w:p w:rsidR="00447873" w:rsidRPr="00185447" w:rsidRDefault="005D7E24">
      <w:pPr>
        <w:rPr>
          <w:b/>
        </w:rPr>
      </w:pPr>
      <w:r w:rsidRPr="00185447">
        <w:rPr>
          <w:b/>
        </w:rPr>
        <w:t>Dedicated Clusters</w:t>
      </w:r>
    </w:p>
    <w:p w:rsidR="005D7E24" w:rsidRDefault="005D7E24"/>
    <w:p w:rsidR="005D7E24" w:rsidRDefault="005D7E24">
      <w:r>
        <w:t xml:space="preserve">A dedicated cluster is a standalone cluster that is paid for by a specific TTU faculty member or research group. HPCC </w:t>
      </w:r>
      <w:r w:rsidR="00C82F67">
        <w:t xml:space="preserve">is able to, subject to space and infrastructure availability </w:t>
      </w:r>
      <w:r>
        <w:t xml:space="preserve">house these clusters in its machine rooms providing system administration support, </w:t>
      </w:r>
      <w:r w:rsidR="005D7B44">
        <w:t xml:space="preserve">UPS power and </w:t>
      </w:r>
      <w:r>
        <w:t>cooling.</w:t>
      </w:r>
      <w:r w:rsidR="005B0162">
        <w:t xml:space="preserve"> Typically</w:t>
      </w:r>
      <w:r w:rsidR="00976BE4">
        <w:t>,</w:t>
      </w:r>
      <w:r w:rsidR="005B0162">
        <w:t xml:space="preserve"> for these clusters HPCC </w:t>
      </w:r>
      <w:r w:rsidR="00C82F67">
        <w:t xml:space="preserve">system </w:t>
      </w:r>
      <w:r w:rsidR="005B0162">
        <w:t>admin</w:t>
      </w:r>
      <w:r w:rsidR="00C82F67">
        <w:t>istration</w:t>
      </w:r>
      <w:r w:rsidR="005B0162">
        <w:t xml:space="preserve"> support is by request with day to day cluster administration provided by the owner of the cluster. </w:t>
      </w:r>
    </w:p>
    <w:p w:rsidR="005B0162" w:rsidRDefault="005B0162"/>
    <w:p w:rsidR="007F2208" w:rsidRPr="00185447" w:rsidRDefault="007F2208">
      <w:pPr>
        <w:rPr>
          <w:b/>
        </w:rPr>
      </w:pPr>
      <w:r w:rsidRPr="00185447">
        <w:rPr>
          <w:b/>
        </w:rPr>
        <w:t>HPCC Software Services</w:t>
      </w:r>
    </w:p>
    <w:p w:rsidR="007F2208" w:rsidRDefault="007F2208"/>
    <w:p w:rsidR="00AE51F1" w:rsidRDefault="007F2208">
      <w:r>
        <w:t xml:space="preserve">A major part of the HPCC mission is maintaining the system software on the clusters and the local grids, </w:t>
      </w:r>
      <w:r w:rsidR="005041BA">
        <w:t xml:space="preserve">as well as </w:t>
      </w:r>
      <w:r>
        <w:t xml:space="preserve">the application software on clusters, local grids, and remote grids.  </w:t>
      </w:r>
      <w:r w:rsidR="007E7894">
        <w:t>M</w:t>
      </w:r>
      <w:r w:rsidR="00AE51F1">
        <w:t xml:space="preserve">ost of the standard open-source packages in the Linux distribution are installed on our clusters.  We have installed a number of additional packages and can install new software as long as it is appropriately licensed.  If you have a package you would like us to install contact us at </w:t>
      </w:r>
      <w:hyperlink r:id="rId6" w:history="1">
        <w:r w:rsidR="00054C2B" w:rsidRPr="004C0CB6">
          <w:rPr>
            <w:rStyle w:val="Hyperlink"/>
          </w:rPr>
          <w:t>hpcc@ttu.edu</w:t>
        </w:r>
      </w:hyperlink>
      <w:r w:rsidR="00054C2B">
        <w:rPr>
          <w:color w:val="548DD4" w:themeColor="text2" w:themeTint="99"/>
        </w:rPr>
        <w:t xml:space="preserve"> </w:t>
      </w:r>
      <w:r w:rsidR="00054C2B" w:rsidRPr="00963281">
        <w:t xml:space="preserve">or fill out the form at </w:t>
      </w:r>
      <w:hyperlink r:id="rId7" w:history="1">
        <w:r w:rsidR="00963281" w:rsidRPr="00963281">
          <w:rPr>
            <w:rStyle w:val="Hyperlink"/>
          </w:rPr>
          <w:t>http://www.hpcc.ttu.edu/RequestSoftware.php</w:t>
        </w:r>
      </w:hyperlink>
    </w:p>
    <w:p w:rsidR="00AE51F1" w:rsidRDefault="00AE51F1"/>
    <w:p w:rsidR="007F2208" w:rsidRDefault="007F2208">
      <w:r>
        <w:t>Some application packages</w:t>
      </w:r>
      <w:r w:rsidR="006C2923">
        <w:t xml:space="preserve"> and a few of the libraries </w:t>
      </w:r>
      <w:r>
        <w:t>that we install and maintain include:</w:t>
      </w:r>
    </w:p>
    <w:p w:rsidR="007F2208" w:rsidRDefault="007F2208"/>
    <w:p w:rsidR="007F2208" w:rsidRDefault="007F2208" w:rsidP="00004276">
      <w:pPr>
        <w:numPr>
          <w:ilvl w:val="0"/>
          <w:numId w:val="3"/>
        </w:numPr>
      </w:pPr>
      <w:r>
        <w:t>Intel compilers, debuggers, and math libraries</w:t>
      </w:r>
    </w:p>
    <w:p w:rsidR="007F2208" w:rsidRDefault="00976BE4" w:rsidP="00004276">
      <w:pPr>
        <w:numPr>
          <w:ilvl w:val="0"/>
          <w:numId w:val="3"/>
        </w:numPr>
      </w:pPr>
      <w:r>
        <w:t>Totalview debugger</w:t>
      </w:r>
    </w:p>
    <w:p w:rsidR="007F2208" w:rsidRDefault="004E598F" w:rsidP="00004276">
      <w:pPr>
        <w:numPr>
          <w:ilvl w:val="0"/>
          <w:numId w:val="3"/>
        </w:numPr>
      </w:pPr>
      <w:r>
        <w:t>MPI software: Open MPI</w:t>
      </w:r>
      <w:r w:rsidR="00976BE4">
        <w:t>, MVAPICH2</w:t>
      </w:r>
    </w:p>
    <w:p w:rsidR="007F2208" w:rsidRDefault="00004276" w:rsidP="00004276">
      <w:pPr>
        <w:numPr>
          <w:ilvl w:val="0"/>
          <w:numId w:val="3"/>
        </w:numPr>
      </w:pPr>
      <w:r>
        <w:t xml:space="preserve">Math libraries: </w:t>
      </w:r>
      <w:r w:rsidR="004E598F">
        <w:t xml:space="preserve">Intel MKL, </w:t>
      </w:r>
      <w:r w:rsidR="008721CF">
        <w:t>Gotoblas</w:t>
      </w:r>
      <w:r w:rsidR="007F2208">
        <w:t>,</w:t>
      </w:r>
      <w:r>
        <w:t xml:space="preserve"> and FFTW</w:t>
      </w:r>
    </w:p>
    <w:p w:rsidR="00004276" w:rsidRDefault="00004276" w:rsidP="00004276">
      <w:pPr>
        <w:numPr>
          <w:ilvl w:val="0"/>
          <w:numId w:val="3"/>
        </w:numPr>
      </w:pPr>
      <w:r>
        <w:t xml:space="preserve">Quantum Chemistry codes: </w:t>
      </w:r>
      <w:r w:rsidR="00AE51F1">
        <w:t>NWC</w:t>
      </w:r>
      <w:r w:rsidR="008721CF">
        <w:t>hem</w:t>
      </w:r>
      <w:r w:rsidR="007F2208">
        <w:t xml:space="preserve"> </w:t>
      </w:r>
    </w:p>
    <w:p w:rsidR="007F2208" w:rsidRDefault="00004276" w:rsidP="00004276">
      <w:pPr>
        <w:numPr>
          <w:ilvl w:val="0"/>
          <w:numId w:val="3"/>
        </w:numPr>
      </w:pPr>
      <w:r>
        <w:t xml:space="preserve">Molecular dynamics codes: </w:t>
      </w:r>
      <w:r w:rsidR="007F2208">
        <w:t>NAMD, Gromacs, Gamess, Venus, an</w:t>
      </w:r>
      <w:r>
        <w:t>d Amber</w:t>
      </w:r>
    </w:p>
    <w:p w:rsidR="007F2208" w:rsidRDefault="007F2208" w:rsidP="00004276">
      <w:pPr>
        <w:numPr>
          <w:ilvl w:val="0"/>
          <w:numId w:val="3"/>
        </w:numPr>
      </w:pPr>
      <w:r>
        <w:t>Math</w:t>
      </w:r>
      <w:r w:rsidR="00004276">
        <w:t xml:space="preserve"> languages/application:</w:t>
      </w:r>
      <w:r>
        <w:t xml:space="preserve"> R, Matlab, and Comsol</w:t>
      </w:r>
    </w:p>
    <w:p w:rsidR="007F2208" w:rsidRDefault="007F2208" w:rsidP="00004276">
      <w:pPr>
        <w:numPr>
          <w:ilvl w:val="0"/>
          <w:numId w:val="3"/>
        </w:numPr>
      </w:pPr>
      <w:r>
        <w:t>Weath</w:t>
      </w:r>
      <w:r w:rsidR="00004276">
        <w:t>er modeling codes:</w:t>
      </w:r>
      <w:r>
        <w:t xml:space="preserve"> WRF, MM5, NCARG, and Netcdf</w:t>
      </w:r>
    </w:p>
    <w:p w:rsidR="00600109" w:rsidRPr="00963281" w:rsidRDefault="00600109" w:rsidP="00004276">
      <w:pPr>
        <w:numPr>
          <w:ilvl w:val="0"/>
          <w:numId w:val="3"/>
        </w:numPr>
      </w:pPr>
      <w:r w:rsidRPr="00963281">
        <w:lastRenderedPageBreak/>
        <w:t>On Jan</w:t>
      </w:r>
      <w:r w:rsidR="001C536F" w:rsidRPr="00963281">
        <w:t>u</w:t>
      </w:r>
      <w:r w:rsidRPr="00963281">
        <w:t>s</w:t>
      </w:r>
      <w:r w:rsidR="00211773" w:rsidRPr="00963281">
        <w:t>,</w:t>
      </w:r>
      <w:r w:rsidRPr="00963281">
        <w:t xml:space="preserve"> the Windows Cluster: GPM (Global Proteome Machine), ArcGIS and Saga-gis, ConventorWare, LSDYNA</w:t>
      </w:r>
    </w:p>
    <w:p w:rsidR="00976BE4" w:rsidRDefault="00976BE4" w:rsidP="00004276">
      <w:pPr>
        <w:ind w:left="720" w:firstLine="720"/>
      </w:pPr>
    </w:p>
    <w:p w:rsidR="00976BE4" w:rsidRPr="00004276" w:rsidRDefault="00976BE4" w:rsidP="00976BE4">
      <w:r>
        <w:t xml:space="preserve">Currently there are some 171 application directories in the hrothgar shared application file system. In addition HPCC </w:t>
      </w:r>
      <w:r w:rsidR="003971F2">
        <w:t>staff has</w:t>
      </w:r>
      <w:r>
        <w:t xml:space="preserve"> and will assist users to compile and build applications in the user’</w:t>
      </w:r>
      <w:r w:rsidR="005D7B44">
        <w:t>s own directories</w:t>
      </w:r>
      <w:r>
        <w:t>.</w:t>
      </w:r>
    </w:p>
    <w:p w:rsidR="00004276" w:rsidRPr="00004276" w:rsidRDefault="00004276"/>
    <w:p w:rsidR="007F2208" w:rsidRPr="001F2ECB" w:rsidRDefault="007F2208">
      <w:pPr>
        <w:rPr>
          <w:b/>
        </w:rPr>
      </w:pPr>
      <w:r w:rsidRPr="001F2ECB">
        <w:rPr>
          <w:b/>
        </w:rPr>
        <w:t>HPCC Grid Computing Services</w:t>
      </w:r>
    </w:p>
    <w:p w:rsidR="007F2208" w:rsidRDefault="007F2208"/>
    <w:p w:rsidR="00F23D1B" w:rsidRDefault="00F23D1B" w:rsidP="00F23D1B">
      <w:r w:rsidRPr="00963281">
        <w:t xml:space="preserve">There is one compute grid on Texas </w:t>
      </w:r>
      <w:r>
        <w:t>Tech campus: TechGrid.  Th</w:t>
      </w:r>
      <w:r>
        <w:rPr>
          <w:color w:val="1F497D"/>
        </w:rPr>
        <w:t>is</w:t>
      </w:r>
      <w:r>
        <w:t xml:space="preserve"> grid use</w:t>
      </w:r>
      <w:r>
        <w:rPr>
          <w:color w:val="1F497D"/>
        </w:rPr>
        <w:t>s</w:t>
      </w:r>
      <w:r>
        <w:t xml:space="preserve"> mostly desktop Windows computers during periods of inactivity.  TechGrid, with 1000 nodes, uses IT and academic department desktops and runs Condor software.  Several applications such as 3-D </w:t>
      </w:r>
      <w:r w:rsidRPr="00963281">
        <w:t xml:space="preserve">rendering, bioinformatics, </w:t>
      </w:r>
      <w:r>
        <w:t xml:space="preserve">physics modeling, computational chemistry electro nuclear dynamics simulations, mathematics prime number research and statistical analysis, business financial and statistical modeling, and genomic analysis with biology department research faculty and TTU Health Sciences Center have been ported to operate within TechGrid. TechGrid’s greatest attribute is to provide greater capacity for multiple serial jobs. Some grid user’s jobs have utilized up to </w:t>
      </w:r>
      <w:r w:rsidR="00E36A25">
        <w:t>6</w:t>
      </w:r>
      <w:r>
        <w:t xml:space="preserve">00 CPU’s simultaneously, creating immense time savings. </w:t>
      </w:r>
    </w:p>
    <w:p w:rsidR="00F23D1B" w:rsidRDefault="00F23D1B" w:rsidP="00F23D1B"/>
    <w:p w:rsidR="00F23D1B" w:rsidRDefault="00F23D1B" w:rsidP="00F23D1B">
      <w:r>
        <w:t>The HPCC currently supports grid activities on the Open Science Grid (OSG) and SURAgrid.  OSG is a national grid that gathers and allocates resources to virtual organizations.  We maintain the tools and services necessary to participate in these virtual organizations.  Currently a local group with our help shares resources in a virtual organization that has collaborator</w:t>
      </w:r>
      <w:r w:rsidR="001F2ECB">
        <w:t>s</w:t>
      </w:r>
      <w:r>
        <w:t xml:space="preserve"> from all over the world.  </w:t>
      </w:r>
    </w:p>
    <w:p w:rsidR="00F23D1B" w:rsidRDefault="00F23D1B" w:rsidP="00F23D1B"/>
    <w:p w:rsidR="00F23D1B" w:rsidRDefault="00F23D1B" w:rsidP="00F23D1B">
      <w:r>
        <w:t xml:space="preserve">SURAgrid is a consortium of organizations collaborating and combining resources to help bring grid technology to the level of seamless, shared infrastructure. </w:t>
      </w:r>
      <w:proofErr w:type="gramStart"/>
      <w:r>
        <w:t>For more</w:t>
      </w:r>
      <w:r w:rsidR="00FE4551">
        <w:t xml:space="preserve"> information on </w:t>
      </w:r>
      <w:proofErr w:type="spellStart"/>
      <w:r w:rsidR="00FE4551">
        <w:t>SURAgrid</w:t>
      </w:r>
      <w:proofErr w:type="spellEnd"/>
      <w:r w:rsidR="005542C6">
        <w:t xml:space="preserve"> go to:</w:t>
      </w:r>
      <w:proofErr w:type="gramEnd"/>
      <w:r w:rsidR="005542C6">
        <w:t xml:space="preserve"> </w:t>
      </w:r>
      <w:bookmarkStart w:id="0" w:name="_GoBack"/>
      <w:bookmarkEnd w:id="0"/>
      <w:r>
        <w:t xml:space="preserve"> </w:t>
      </w:r>
      <w:r w:rsidR="00FE4551" w:rsidRPr="00FE4551">
        <w:t>http://www.suragrid.org/sura_grid.html</w:t>
      </w:r>
      <w:r w:rsidR="005041BA">
        <w:t>.</w:t>
      </w:r>
    </w:p>
    <w:p w:rsidR="00F23D1B" w:rsidRDefault="00F23D1B" w:rsidP="00F23D1B"/>
    <w:p w:rsidR="00F23D1B" w:rsidRDefault="00F23D1B" w:rsidP="00F23D1B">
      <w:r>
        <w:t>HPCC provides help getting allocations and local application support for TTU users of the NSF Teragrid.  The largest single system on Teragrid is the 400 teraflop system at UT Austin, which has a 5% Texas allocation for researchers from Texas universities</w:t>
      </w:r>
      <w:r w:rsidR="005041BA">
        <w:t>.</w:t>
      </w:r>
    </w:p>
    <w:p w:rsidR="00E9486E" w:rsidRDefault="00E9486E" w:rsidP="00E9486E"/>
    <w:p w:rsidR="00C55DD3" w:rsidRDefault="00C55DD3"/>
    <w:p w:rsidR="00447873" w:rsidRPr="00185447" w:rsidRDefault="00FC5734">
      <w:pPr>
        <w:rPr>
          <w:b/>
        </w:rPr>
      </w:pPr>
      <w:r w:rsidRPr="00185447">
        <w:rPr>
          <w:b/>
        </w:rPr>
        <w:t xml:space="preserve">Other </w:t>
      </w:r>
      <w:r w:rsidR="00447873" w:rsidRPr="00185447">
        <w:rPr>
          <w:b/>
        </w:rPr>
        <w:t>HPCC services</w:t>
      </w:r>
    </w:p>
    <w:p w:rsidR="00B44D34" w:rsidRDefault="00B44D34"/>
    <w:p w:rsidR="00004276" w:rsidRDefault="00C55DD3">
      <w:r>
        <w:t xml:space="preserve">HPCC </w:t>
      </w:r>
      <w:r w:rsidR="00C24EB4">
        <w:t xml:space="preserve">provides consulting services for a variety of applications that </w:t>
      </w:r>
      <w:r w:rsidR="00AA2041">
        <w:t xml:space="preserve">exploit serial and parallel computing environments to address application specific scientific computing challenges. </w:t>
      </w:r>
      <w:r w:rsidR="00E603E3">
        <w:t xml:space="preserve">Our services include working closely with researchers </w:t>
      </w:r>
      <w:r w:rsidR="004549CD">
        <w:t xml:space="preserve">and their students </w:t>
      </w:r>
      <w:r w:rsidR="00E603E3">
        <w:t xml:space="preserve">in </w:t>
      </w:r>
      <w:r w:rsidR="004549CD">
        <w:t>migrating</w:t>
      </w:r>
      <w:r w:rsidR="00E603E3">
        <w:t xml:space="preserve"> </w:t>
      </w:r>
      <w:r w:rsidR="004549CD">
        <w:t xml:space="preserve">computer programs </w:t>
      </w:r>
      <w:r w:rsidR="00E603E3">
        <w:t>from PC to Linux environments</w:t>
      </w:r>
      <w:r w:rsidR="00B14FC3">
        <w:t xml:space="preserve">, code optimization and parallelization strategies, and </w:t>
      </w:r>
      <w:r w:rsidR="004549CD">
        <w:t>introducing campus researchers to national sc</w:t>
      </w:r>
      <w:r w:rsidR="007F1845">
        <w:t xml:space="preserve">ale resources </w:t>
      </w:r>
      <w:r w:rsidR="00B14FC3">
        <w:t xml:space="preserve">wherever requested computing time exceeds campus limitations. The </w:t>
      </w:r>
      <w:r w:rsidR="007F1845">
        <w:t>NSF TeraGrid and</w:t>
      </w:r>
      <w:r w:rsidR="004549CD">
        <w:t xml:space="preserve"> Texas major computing resources such as Ranger at TACC</w:t>
      </w:r>
      <w:r w:rsidR="00B14FC3">
        <w:t xml:space="preserve"> are some national scale resources for example</w:t>
      </w:r>
      <w:r w:rsidR="004549CD">
        <w:t xml:space="preserve">. </w:t>
      </w:r>
      <w:r w:rsidR="005041BA">
        <w:t xml:space="preserve">TTU HPCC is an active partner in the TACC </w:t>
      </w:r>
      <w:proofErr w:type="spellStart"/>
      <w:r w:rsidR="005041BA">
        <w:t>Lonestar</w:t>
      </w:r>
      <w:proofErr w:type="spellEnd"/>
      <w:r w:rsidR="005041BA">
        <w:t xml:space="preserve"> IV cluster</w:t>
      </w:r>
      <w:r w:rsidR="001F2ECB">
        <w:t>.</w:t>
      </w:r>
      <w:r w:rsidR="00623A07">
        <w:t xml:space="preserve"> </w:t>
      </w:r>
      <w:r w:rsidR="001F2ECB">
        <w:lastRenderedPageBreak/>
        <w:t>A</w:t>
      </w:r>
      <w:r w:rsidR="00623A07">
        <w:t>s a result TTU researchers have access to 9,000,000 core hours per year for the lifetime of the system.</w:t>
      </w:r>
    </w:p>
    <w:p w:rsidR="00004276" w:rsidRDefault="00004276"/>
    <w:p w:rsidR="007F2208" w:rsidRDefault="00B14FC3">
      <w:r>
        <w:t xml:space="preserve">We </w:t>
      </w:r>
      <w:r w:rsidR="005041BA">
        <w:t>also</w:t>
      </w:r>
      <w:r w:rsidR="00004276">
        <w:t xml:space="preserve"> </w:t>
      </w:r>
      <w:r>
        <w:t>help campus researchers find potential interdisciplinary and intercampus collaborations where compu</w:t>
      </w:r>
      <w:r w:rsidR="00004276">
        <w:t>ting is the common denominator.  We do this by organizing seminars and meeting with various re</w:t>
      </w:r>
      <w:r w:rsidR="00F86F7E">
        <w:t xml:space="preserve">search groups on campus.  We do this both for groups that are currently </w:t>
      </w:r>
      <w:r w:rsidR="005041BA">
        <w:t xml:space="preserve">involved in </w:t>
      </w:r>
      <w:proofErr w:type="spellStart"/>
      <w:r w:rsidR="00F86F7E">
        <w:t>compute</w:t>
      </w:r>
      <w:proofErr w:type="spellEnd"/>
      <w:r w:rsidR="00F86F7E">
        <w:t xml:space="preserve"> modeling and those that are thinking about it. Please feel free to contact us </w:t>
      </w:r>
      <w:r w:rsidR="00F86F7E" w:rsidRPr="00963281">
        <w:t xml:space="preserve">at </w:t>
      </w:r>
      <w:r w:rsidR="00054C2B" w:rsidRPr="00185447">
        <w:t>hpcc@ttu.edu</w:t>
      </w:r>
      <w:r w:rsidR="00F86F7E" w:rsidRPr="00963281">
        <w:t xml:space="preserve"> if </w:t>
      </w:r>
      <w:r w:rsidR="00F86F7E">
        <w:t xml:space="preserve">you would like our help.  </w:t>
      </w:r>
    </w:p>
    <w:p w:rsidR="00FC5734" w:rsidRDefault="00FC5734"/>
    <w:p w:rsidR="00FC5734" w:rsidRDefault="00FC5734">
      <w:r>
        <w:t xml:space="preserve">If you need help in bidding a system either for a proposal or to purchase on a grant, we can help you in designing and getting a bid for an appropriate system.  </w:t>
      </w:r>
    </w:p>
    <w:p w:rsidR="0057371F" w:rsidRDefault="0057371F"/>
    <w:p w:rsidR="0057371F" w:rsidRPr="00185447" w:rsidRDefault="0057371F">
      <w:pPr>
        <w:rPr>
          <w:b/>
        </w:rPr>
      </w:pPr>
      <w:r w:rsidRPr="00185447">
        <w:rPr>
          <w:b/>
        </w:rPr>
        <w:t>Cont</w:t>
      </w:r>
      <w:r w:rsidR="00B92B44" w:rsidRPr="00185447">
        <w:rPr>
          <w:b/>
        </w:rPr>
        <w:t>act list</w:t>
      </w:r>
      <w:r w:rsidR="00963281" w:rsidRPr="00185447">
        <w:rPr>
          <w:b/>
        </w:rPr>
        <w:t>:</w:t>
      </w:r>
    </w:p>
    <w:p w:rsidR="00185447" w:rsidRDefault="00963281">
      <w:r>
        <w:t>hpcc@ttu.edu</w:t>
      </w:r>
    </w:p>
    <w:p w:rsidR="0057371F" w:rsidRDefault="0057371F">
      <w:r>
        <w:t xml:space="preserve">HPCC website: </w:t>
      </w:r>
      <w:hyperlink r:id="rId8" w:history="1">
        <w:r w:rsidRPr="0069583E">
          <w:rPr>
            <w:rStyle w:val="Hyperlink"/>
          </w:rPr>
          <w:t>http://www.hpcc.ttu.edu</w:t>
        </w:r>
      </w:hyperlink>
      <w:r>
        <w:t xml:space="preserve"> </w:t>
      </w:r>
    </w:p>
    <w:p w:rsidR="0057371F" w:rsidRDefault="0057371F">
      <w:r>
        <w:t>New account</w:t>
      </w:r>
      <w:r w:rsidR="00C53D5A">
        <w:t>: see link on HPCC website</w:t>
      </w:r>
    </w:p>
    <w:p w:rsidR="0057371F" w:rsidRDefault="0057371F">
      <w:r>
        <w:t>New software request: see link under Operations on HPCC website.</w:t>
      </w:r>
    </w:p>
    <w:p w:rsidR="0057371F" w:rsidRDefault="0057371F"/>
    <w:sectPr w:rsidR="0057371F" w:rsidSect="00943E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5419E"/>
    <w:multiLevelType w:val="hybridMultilevel"/>
    <w:tmpl w:val="F7984526"/>
    <w:lvl w:ilvl="0" w:tplc="C27801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E769D"/>
    <w:multiLevelType w:val="hybridMultilevel"/>
    <w:tmpl w:val="7C7AC982"/>
    <w:lvl w:ilvl="0" w:tplc="818C3E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860F3D"/>
    <w:multiLevelType w:val="hybridMultilevel"/>
    <w:tmpl w:val="9132CEA0"/>
    <w:lvl w:ilvl="0" w:tplc="818C3E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3952FF"/>
    <w:multiLevelType w:val="hybridMultilevel"/>
    <w:tmpl w:val="D78E0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D3"/>
    <w:rsid w:val="00004276"/>
    <w:rsid w:val="00054C2B"/>
    <w:rsid w:val="000B1621"/>
    <w:rsid w:val="00165CA9"/>
    <w:rsid w:val="00185447"/>
    <w:rsid w:val="001C536F"/>
    <w:rsid w:val="001F2ECB"/>
    <w:rsid w:val="001F787C"/>
    <w:rsid w:val="00211773"/>
    <w:rsid w:val="00256205"/>
    <w:rsid w:val="003971F2"/>
    <w:rsid w:val="003A27C2"/>
    <w:rsid w:val="003B4808"/>
    <w:rsid w:val="0040647D"/>
    <w:rsid w:val="00447873"/>
    <w:rsid w:val="004549CD"/>
    <w:rsid w:val="004C4422"/>
    <w:rsid w:val="004E598F"/>
    <w:rsid w:val="005041BA"/>
    <w:rsid w:val="005542C6"/>
    <w:rsid w:val="0057371F"/>
    <w:rsid w:val="005A0377"/>
    <w:rsid w:val="005B0162"/>
    <w:rsid w:val="005D7B44"/>
    <w:rsid w:val="005D7E24"/>
    <w:rsid w:val="00600109"/>
    <w:rsid w:val="00615586"/>
    <w:rsid w:val="00623A07"/>
    <w:rsid w:val="006250CD"/>
    <w:rsid w:val="00650143"/>
    <w:rsid w:val="006C2923"/>
    <w:rsid w:val="006E5A3F"/>
    <w:rsid w:val="00727789"/>
    <w:rsid w:val="00783FF1"/>
    <w:rsid w:val="007E7894"/>
    <w:rsid w:val="007F1845"/>
    <w:rsid w:val="007F1AEF"/>
    <w:rsid w:val="007F2208"/>
    <w:rsid w:val="008256FB"/>
    <w:rsid w:val="008721CF"/>
    <w:rsid w:val="00881A67"/>
    <w:rsid w:val="008D6855"/>
    <w:rsid w:val="009161A6"/>
    <w:rsid w:val="00943EAA"/>
    <w:rsid w:val="00963281"/>
    <w:rsid w:val="00976BE4"/>
    <w:rsid w:val="009A001C"/>
    <w:rsid w:val="00A520C9"/>
    <w:rsid w:val="00AA2041"/>
    <w:rsid w:val="00AE4509"/>
    <w:rsid w:val="00AE469D"/>
    <w:rsid w:val="00AE51F1"/>
    <w:rsid w:val="00B00986"/>
    <w:rsid w:val="00B14FC3"/>
    <w:rsid w:val="00B44D34"/>
    <w:rsid w:val="00B92B44"/>
    <w:rsid w:val="00BB2394"/>
    <w:rsid w:val="00BB525D"/>
    <w:rsid w:val="00C24EB4"/>
    <w:rsid w:val="00C53D5A"/>
    <w:rsid w:val="00C55DD3"/>
    <w:rsid w:val="00C82F67"/>
    <w:rsid w:val="00C83C0A"/>
    <w:rsid w:val="00CC2645"/>
    <w:rsid w:val="00E36A25"/>
    <w:rsid w:val="00E603E3"/>
    <w:rsid w:val="00E745CA"/>
    <w:rsid w:val="00E9486E"/>
    <w:rsid w:val="00EC1D3B"/>
    <w:rsid w:val="00ED0509"/>
    <w:rsid w:val="00F23D1B"/>
    <w:rsid w:val="00F326EC"/>
    <w:rsid w:val="00F37D6B"/>
    <w:rsid w:val="00F54318"/>
    <w:rsid w:val="00F5536B"/>
    <w:rsid w:val="00F615CE"/>
    <w:rsid w:val="00F86F7E"/>
    <w:rsid w:val="00FC5734"/>
    <w:rsid w:val="00FC7BE2"/>
    <w:rsid w:val="00FE4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86E"/>
    <w:rPr>
      <w:color w:val="0000FF"/>
      <w:u w:val="single"/>
    </w:rPr>
  </w:style>
  <w:style w:type="paragraph" w:styleId="ListParagraph">
    <w:name w:val="List Paragraph"/>
    <w:basedOn w:val="Normal"/>
    <w:uiPriority w:val="34"/>
    <w:qFormat/>
    <w:rsid w:val="00F23D1B"/>
    <w:pPr>
      <w:ind w:left="720"/>
      <w:contextualSpacing/>
    </w:pPr>
  </w:style>
  <w:style w:type="character" w:styleId="CommentReference">
    <w:name w:val="annotation reference"/>
    <w:basedOn w:val="DefaultParagraphFont"/>
    <w:uiPriority w:val="99"/>
    <w:semiHidden/>
    <w:unhideWhenUsed/>
    <w:rsid w:val="001C536F"/>
    <w:rPr>
      <w:sz w:val="16"/>
      <w:szCs w:val="16"/>
    </w:rPr>
  </w:style>
  <w:style w:type="paragraph" w:styleId="CommentText">
    <w:name w:val="annotation text"/>
    <w:basedOn w:val="Normal"/>
    <w:link w:val="CommentTextChar"/>
    <w:uiPriority w:val="99"/>
    <w:semiHidden/>
    <w:unhideWhenUsed/>
    <w:rsid w:val="001C536F"/>
    <w:rPr>
      <w:sz w:val="20"/>
      <w:szCs w:val="20"/>
    </w:rPr>
  </w:style>
  <w:style w:type="character" w:customStyle="1" w:styleId="CommentTextChar">
    <w:name w:val="Comment Text Char"/>
    <w:basedOn w:val="DefaultParagraphFont"/>
    <w:link w:val="CommentText"/>
    <w:uiPriority w:val="99"/>
    <w:semiHidden/>
    <w:rsid w:val="001C536F"/>
  </w:style>
  <w:style w:type="paragraph" w:styleId="CommentSubject">
    <w:name w:val="annotation subject"/>
    <w:basedOn w:val="CommentText"/>
    <w:next w:val="CommentText"/>
    <w:link w:val="CommentSubjectChar"/>
    <w:uiPriority w:val="99"/>
    <w:semiHidden/>
    <w:unhideWhenUsed/>
    <w:rsid w:val="001C536F"/>
    <w:rPr>
      <w:b/>
      <w:bCs/>
    </w:rPr>
  </w:style>
  <w:style w:type="character" w:customStyle="1" w:styleId="CommentSubjectChar">
    <w:name w:val="Comment Subject Char"/>
    <w:basedOn w:val="CommentTextChar"/>
    <w:link w:val="CommentSubject"/>
    <w:uiPriority w:val="99"/>
    <w:semiHidden/>
    <w:rsid w:val="001C536F"/>
    <w:rPr>
      <w:b/>
      <w:bCs/>
    </w:rPr>
  </w:style>
  <w:style w:type="paragraph" w:styleId="BalloonText">
    <w:name w:val="Balloon Text"/>
    <w:basedOn w:val="Normal"/>
    <w:link w:val="BalloonTextChar"/>
    <w:uiPriority w:val="99"/>
    <w:semiHidden/>
    <w:unhideWhenUsed/>
    <w:rsid w:val="001C536F"/>
    <w:rPr>
      <w:rFonts w:ascii="Tahoma" w:hAnsi="Tahoma" w:cs="Tahoma"/>
      <w:sz w:val="16"/>
      <w:szCs w:val="16"/>
    </w:rPr>
  </w:style>
  <w:style w:type="character" w:customStyle="1" w:styleId="BalloonTextChar">
    <w:name w:val="Balloon Text Char"/>
    <w:basedOn w:val="DefaultParagraphFont"/>
    <w:link w:val="BalloonText"/>
    <w:uiPriority w:val="99"/>
    <w:semiHidden/>
    <w:rsid w:val="001C536F"/>
    <w:rPr>
      <w:rFonts w:ascii="Tahoma" w:hAnsi="Tahoma" w:cs="Tahoma"/>
      <w:sz w:val="16"/>
      <w:szCs w:val="16"/>
    </w:rPr>
  </w:style>
  <w:style w:type="paragraph" w:styleId="Title">
    <w:name w:val="Title"/>
    <w:basedOn w:val="Normal"/>
    <w:next w:val="Normal"/>
    <w:link w:val="TitleChar"/>
    <w:uiPriority w:val="10"/>
    <w:qFormat/>
    <w:rsid w:val="001854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5447"/>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E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486E"/>
    <w:rPr>
      <w:color w:val="0000FF"/>
      <w:u w:val="single"/>
    </w:rPr>
  </w:style>
  <w:style w:type="paragraph" w:styleId="ListParagraph">
    <w:name w:val="List Paragraph"/>
    <w:basedOn w:val="Normal"/>
    <w:uiPriority w:val="34"/>
    <w:qFormat/>
    <w:rsid w:val="00F23D1B"/>
    <w:pPr>
      <w:ind w:left="720"/>
      <w:contextualSpacing/>
    </w:pPr>
  </w:style>
  <w:style w:type="character" w:styleId="CommentReference">
    <w:name w:val="annotation reference"/>
    <w:basedOn w:val="DefaultParagraphFont"/>
    <w:uiPriority w:val="99"/>
    <w:semiHidden/>
    <w:unhideWhenUsed/>
    <w:rsid w:val="001C536F"/>
    <w:rPr>
      <w:sz w:val="16"/>
      <w:szCs w:val="16"/>
    </w:rPr>
  </w:style>
  <w:style w:type="paragraph" w:styleId="CommentText">
    <w:name w:val="annotation text"/>
    <w:basedOn w:val="Normal"/>
    <w:link w:val="CommentTextChar"/>
    <w:uiPriority w:val="99"/>
    <w:semiHidden/>
    <w:unhideWhenUsed/>
    <w:rsid w:val="001C536F"/>
    <w:rPr>
      <w:sz w:val="20"/>
      <w:szCs w:val="20"/>
    </w:rPr>
  </w:style>
  <w:style w:type="character" w:customStyle="1" w:styleId="CommentTextChar">
    <w:name w:val="Comment Text Char"/>
    <w:basedOn w:val="DefaultParagraphFont"/>
    <w:link w:val="CommentText"/>
    <w:uiPriority w:val="99"/>
    <w:semiHidden/>
    <w:rsid w:val="001C536F"/>
  </w:style>
  <w:style w:type="paragraph" w:styleId="CommentSubject">
    <w:name w:val="annotation subject"/>
    <w:basedOn w:val="CommentText"/>
    <w:next w:val="CommentText"/>
    <w:link w:val="CommentSubjectChar"/>
    <w:uiPriority w:val="99"/>
    <w:semiHidden/>
    <w:unhideWhenUsed/>
    <w:rsid w:val="001C536F"/>
    <w:rPr>
      <w:b/>
      <w:bCs/>
    </w:rPr>
  </w:style>
  <w:style w:type="character" w:customStyle="1" w:styleId="CommentSubjectChar">
    <w:name w:val="Comment Subject Char"/>
    <w:basedOn w:val="CommentTextChar"/>
    <w:link w:val="CommentSubject"/>
    <w:uiPriority w:val="99"/>
    <w:semiHidden/>
    <w:rsid w:val="001C536F"/>
    <w:rPr>
      <w:b/>
      <w:bCs/>
    </w:rPr>
  </w:style>
  <w:style w:type="paragraph" w:styleId="BalloonText">
    <w:name w:val="Balloon Text"/>
    <w:basedOn w:val="Normal"/>
    <w:link w:val="BalloonTextChar"/>
    <w:uiPriority w:val="99"/>
    <w:semiHidden/>
    <w:unhideWhenUsed/>
    <w:rsid w:val="001C536F"/>
    <w:rPr>
      <w:rFonts w:ascii="Tahoma" w:hAnsi="Tahoma" w:cs="Tahoma"/>
      <w:sz w:val="16"/>
      <w:szCs w:val="16"/>
    </w:rPr>
  </w:style>
  <w:style w:type="character" w:customStyle="1" w:styleId="BalloonTextChar">
    <w:name w:val="Balloon Text Char"/>
    <w:basedOn w:val="DefaultParagraphFont"/>
    <w:link w:val="BalloonText"/>
    <w:uiPriority w:val="99"/>
    <w:semiHidden/>
    <w:rsid w:val="001C536F"/>
    <w:rPr>
      <w:rFonts w:ascii="Tahoma" w:hAnsi="Tahoma" w:cs="Tahoma"/>
      <w:sz w:val="16"/>
      <w:szCs w:val="16"/>
    </w:rPr>
  </w:style>
  <w:style w:type="paragraph" w:styleId="Title">
    <w:name w:val="Title"/>
    <w:basedOn w:val="Normal"/>
    <w:next w:val="Normal"/>
    <w:link w:val="TitleChar"/>
    <w:uiPriority w:val="10"/>
    <w:qFormat/>
    <w:rsid w:val="0018544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544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572245">
      <w:bodyDiv w:val="1"/>
      <w:marLeft w:val="0"/>
      <w:marRight w:val="0"/>
      <w:marTop w:val="0"/>
      <w:marBottom w:val="0"/>
      <w:divBdr>
        <w:top w:val="none" w:sz="0" w:space="0" w:color="auto"/>
        <w:left w:val="none" w:sz="0" w:space="0" w:color="auto"/>
        <w:bottom w:val="none" w:sz="0" w:space="0" w:color="auto"/>
        <w:right w:val="none" w:sz="0" w:space="0" w:color="auto"/>
      </w:divBdr>
    </w:div>
    <w:div w:id="200704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cc.ttu.edu" TargetMode="External"/><Relationship Id="rId3" Type="http://schemas.microsoft.com/office/2007/relationships/stylesWithEffects" Target="stylesWithEffects.xml"/><Relationship Id="rId7" Type="http://schemas.openxmlformats.org/officeDocument/2006/relationships/hyperlink" Target="http://www.hpcc.ttu.edu/RequestSoftware.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pcc@ttu.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1196</Words>
  <Characters>6445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HPCC Major Compute Clusters</vt:lpstr>
    </vt:vector>
  </TitlesOfParts>
  <Company>Texas Tech University</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HPCC Major Compute Clusters</dc:title>
  <dc:creator>chaffin</dc:creator>
  <cp:lastModifiedBy>Desktop</cp:lastModifiedBy>
  <cp:revision>2</cp:revision>
  <dcterms:created xsi:type="dcterms:W3CDTF">2011-11-09T19:47:00Z</dcterms:created>
  <dcterms:modified xsi:type="dcterms:W3CDTF">2011-11-09T19:47:00Z</dcterms:modified>
</cp:coreProperties>
</file>