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6" w:rsidRDefault="0069332D" w:rsidP="00763791">
      <w:pPr>
        <w:jc w:val="center"/>
      </w:pPr>
      <w:r>
        <w:t>ENGR 1108</w:t>
      </w:r>
      <w:r w:rsidR="00763791">
        <w:t xml:space="preserve"> </w:t>
      </w:r>
      <w:r w:rsidR="00763791">
        <w:rPr>
          <w:i/>
        </w:rPr>
        <w:t>General Chemistry Bridge Course</w:t>
      </w:r>
      <w:r>
        <w:rPr>
          <w:i/>
        </w:rPr>
        <w:t xml:space="preserve"> for Engineers</w:t>
      </w:r>
      <w:r w:rsidR="00763791">
        <w:t xml:space="preserve"> FAQ</w:t>
      </w:r>
    </w:p>
    <w:p w:rsidR="00763791" w:rsidRDefault="00763791" w:rsidP="00763791"/>
    <w:p w:rsidR="00763791" w:rsidRPr="006F2E80" w:rsidRDefault="00763791" w:rsidP="00763791">
      <w:pPr>
        <w:ind w:left="360" w:hanging="360"/>
        <w:rPr>
          <w:b/>
        </w:rPr>
      </w:pPr>
      <w:r w:rsidRPr="006F2E80">
        <w:rPr>
          <w:b/>
        </w:rPr>
        <w:t>Q.</w:t>
      </w:r>
      <w:r w:rsidRPr="006F2E80">
        <w:rPr>
          <w:b/>
        </w:rPr>
        <w:tab/>
        <w:t xml:space="preserve">What is </w:t>
      </w:r>
      <w:r w:rsidR="0069332D">
        <w:rPr>
          <w:b/>
        </w:rPr>
        <w:t>ENGR</w:t>
      </w:r>
      <w:r w:rsidR="00461C70">
        <w:rPr>
          <w:b/>
        </w:rPr>
        <w:t xml:space="preserve"> 1108</w:t>
      </w:r>
      <w:r w:rsidRPr="006F2E80">
        <w:rPr>
          <w:b/>
        </w:rPr>
        <w:t>?</w:t>
      </w:r>
    </w:p>
    <w:p w:rsidR="0069332D" w:rsidRDefault="00763791" w:rsidP="0069332D">
      <w:pPr>
        <w:ind w:left="360" w:hanging="360"/>
      </w:pPr>
      <w:r>
        <w:t>A.</w:t>
      </w:r>
      <w:r>
        <w:tab/>
      </w:r>
      <w:r w:rsidR="0069332D">
        <w:t>ENGR 1108</w:t>
      </w:r>
      <w:r>
        <w:t xml:space="preserve"> is a 1-credit course designed to “bridge” the student from their high school chemistry experience to a much improved level of preparedness for a university-level chemistry </w:t>
      </w:r>
      <w:r w:rsidR="0069332D">
        <w:t>course with an assignment schedule that allows an Engineering student to enroll also in the ConocoPhillips Bridge Course.</w:t>
      </w:r>
      <w:r>
        <w:t xml:space="preserve">  </w:t>
      </w:r>
    </w:p>
    <w:p w:rsidR="0069332D" w:rsidRDefault="0069332D" w:rsidP="0069332D">
      <w:pPr>
        <w:ind w:left="360" w:hanging="360"/>
      </w:pPr>
    </w:p>
    <w:p w:rsidR="0069332D" w:rsidRDefault="0069332D" w:rsidP="0069332D">
      <w:pPr>
        <w:ind w:left="360" w:hanging="360"/>
        <w:rPr>
          <w:b/>
        </w:rPr>
      </w:pPr>
      <w:r>
        <w:rPr>
          <w:b/>
        </w:rPr>
        <w:t>Q.</w:t>
      </w:r>
      <w:r>
        <w:rPr>
          <w:b/>
        </w:rPr>
        <w:tab/>
        <w:t>How is the course structured?</w:t>
      </w:r>
    </w:p>
    <w:p w:rsidR="006A1530" w:rsidRDefault="0069332D" w:rsidP="0069332D">
      <w:pPr>
        <w:ind w:left="360" w:hanging="360"/>
      </w:pPr>
      <w:r>
        <w:rPr>
          <w:b/>
        </w:rPr>
        <w:t>A.</w:t>
      </w:r>
      <w:r>
        <w:rPr>
          <w:b/>
        </w:rPr>
        <w:tab/>
      </w:r>
      <w:r>
        <w:t>The course is delivered online and is designed to be completed during the first week of the fall intercession term which allows the Engineering student to attend and focus on the ConocoPhillips Bridge Course during the second week of the fall intersession term.</w:t>
      </w:r>
      <w:r w:rsidR="00763791">
        <w:t xml:space="preserve"> </w:t>
      </w:r>
      <w:r w:rsidR="006A1530">
        <w:t xml:space="preserve">Content </w:t>
      </w:r>
      <w:r w:rsidR="00DE0D83">
        <w:t xml:space="preserve">for ENGR 1108 </w:t>
      </w:r>
      <w:r w:rsidR="006A1530">
        <w:t xml:space="preserve">is delivered on a Blackboard site for the course and assignments are </w:t>
      </w:r>
      <w:r w:rsidR="00DE0D83">
        <w:t>submitted</w:t>
      </w:r>
      <w:r w:rsidR="006A1530">
        <w:t xml:space="preserve"> </w:t>
      </w:r>
      <w:r w:rsidR="00DE0D83">
        <w:t>online</w:t>
      </w:r>
      <w:r w:rsidR="006A1530">
        <w:t xml:space="preserve">.  Students work asynchronously following a schedule of content release and corresponding assignment due date.  </w:t>
      </w:r>
    </w:p>
    <w:p w:rsidR="006A1530" w:rsidRDefault="006A1530" w:rsidP="006A1530"/>
    <w:p w:rsidR="006A1530" w:rsidRPr="006F2E80" w:rsidRDefault="006A1530" w:rsidP="006A1530">
      <w:pPr>
        <w:ind w:left="360" w:hanging="360"/>
        <w:rPr>
          <w:b/>
        </w:rPr>
      </w:pPr>
      <w:r w:rsidRPr="006F2E80">
        <w:rPr>
          <w:b/>
        </w:rPr>
        <w:t>Q.</w:t>
      </w:r>
      <w:r w:rsidRPr="006F2E80">
        <w:rPr>
          <w:b/>
        </w:rPr>
        <w:tab/>
        <w:t>Is the course effective?</w:t>
      </w:r>
    </w:p>
    <w:p w:rsidR="00A868DF" w:rsidRDefault="006A1530" w:rsidP="00A868DF">
      <w:pPr>
        <w:ind w:left="360" w:hanging="360"/>
      </w:pPr>
      <w:r>
        <w:t>A.</w:t>
      </w:r>
      <w:r>
        <w:tab/>
        <w:t xml:space="preserve">The graph below compares the percent of unsuccessful </w:t>
      </w:r>
      <w:r w:rsidR="00040474">
        <w:t xml:space="preserve">General Chemistry </w:t>
      </w:r>
      <w:r>
        <w:t xml:space="preserve">students (%DFW: grades of D, F, or withdrawing from the course) for </w:t>
      </w:r>
      <w:r w:rsidR="00040474">
        <w:t xml:space="preserve">fall 2012 </w:t>
      </w:r>
      <w:r>
        <w:t>students taking the Bridge Course</w:t>
      </w:r>
      <w:r w:rsidR="00040474">
        <w:t>, or not,</w:t>
      </w:r>
      <w:r>
        <w:t xml:space="preserve"> grouped by scores on the Chemistry Placement Examination (CPE).  </w:t>
      </w:r>
      <w:r w:rsidR="00040474">
        <w:t>At the low end of CPE scores %DFW falls by almost 2/3 with the Bridge Course, and even at the high end of CPE scores taking the Bridge Course leads to improved performance in General Chemistry.</w:t>
      </w:r>
      <w:r w:rsidR="00A868DF">
        <w:t xml:space="preserve">  There is a special additional benefit to student with a CPE score below the value allowing registration into CHEM 1307</w:t>
      </w:r>
      <w:r w:rsidR="00A868DF" w:rsidRPr="00A868DF">
        <w:rPr>
          <w:b/>
        </w:rPr>
        <w:t xml:space="preserve">.  If you take </w:t>
      </w:r>
      <w:r w:rsidR="00DE0D83">
        <w:rPr>
          <w:b/>
        </w:rPr>
        <w:t>ENGR 1108</w:t>
      </w:r>
      <w:r w:rsidR="00A868DF" w:rsidRPr="00A868DF">
        <w:rPr>
          <w:b/>
        </w:rPr>
        <w:t xml:space="preserve"> and do sufficiently well,</w:t>
      </w:r>
      <w:r w:rsidR="00A868DF">
        <w:t xml:space="preserve"> </w:t>
      </w:r>
      <w:r w:rsidR="00A868DF" w:rsidRPr="00A868DF">
        <w:rPr>
          <w:b/>
        </w:rPr>
        <w:t>you will be permitted into CHEM 1307.</w:t>
      </w:r>
    </w:p>
    <w:p w:rsidR="00763791" w:rsidRDefault="00040474" w:rsidP="00040474">
      <w:pPr>
        <w:ind w:left="360" w:hanging="360"/>
        <w:jc w:val="center"/>
      </w:pPr>
      <w:r w:rsidRPr="00040474">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40474" w:rsidRDefault="00040474" w:rsidP="00040474">
      <w:pPr>
        <w:ind w:left="360" w:hanging="360"/>
        <w:jc w:val="center"/>
      </w:pPr>
    </w:p>
    <w:p w:rsidR="000A1D68" w:rsidRPr="006F2E80" w:rsidRDefault="000A1D68" w:rsidP="00040474">
      <w:pPr>
        <w:ind w:left="360" w:hanging="360"/>
        <w:rPr>
          <w:b/>
        </w:rPr>
      </w:pPr>
      <w:r w:rsidRPr="006F2E80">
        <w:rPr>
          <w:b/>
        </w:rPr>
        <w:t>Q.</w:t>
      </w:r>
      <w:r w:rsidRPr="006F2E80">
        <w:rPr>
          <w:b/>
        </w:rPr>
        <w:tab/>
        <w:t>How much time does the course take?</w:t>
      </w:r>
    </w:p>
    <w:p w:rsidR="000A1D68" w:rsidRDefault="000A1D68" w:rsidP="00040474">
      <w:pPr>
        <w:ind w:left="360" w:hanging="360"/>
      </w:pPr>
      <w:r>
        <w:lastRenderedPageBreak/>
        <w:t>A.</w:t>
      </w:r>
      <w:r>
        <w:tab/>
        <w:t xml:space="preserve">Most students complete the course with 15-20 hours of work.  </w:t>
      </w:r>
    </w:p>
    <w:p w:rsidR="000A1D68" w:rsidRDefault="000A1D68" w:rsidP="00040474">
      <w:pPr>
        <w:ind w:left="360" w:hanging="360"/>
      </w:pPr>
    </w:p>
    <w:p w:rsidR="000A1D68" w:rsidRPr="006F2E80" w:rsidRDefault="000A1D68" w:rsidP="00040474">
      <w:pPr>
        <w:ind w:left="360" w:hanging="360"/>
        <w:rPr>
          <w:b/>
        </w:rPr>
      </w:pPr>
      <w:r w:rsidRPr="006F2E80">
        <w:rPr>
          <w:b/>
        </w:rPr>
        <w:t>Q.</w:t>
      </w:r>
      <w:r w:rsidRPr="006F2E80">
        <w:rPr>
          <w:b/>
        </w:rPr>
        <w:tab/>
        <w:t>What if I</w:t>
      </w:r>
      <w:r w:rsidR="00DE0D83">
        <w:rPr>
          <w:b/>
        </w:rPr>
        <w:t xml:space="preserve"> </w:t>
      </w:r>
      <w:r w:rsidRPr="006F2E80">
        <w:rPr>
          <w:b/>
        </w:rPr>
        <w:t xml:space="preserve">have a conflict which will prevent me from working on the course for a </w:t>
      </w:r>
      <w:r w:rsidR="00CB4E91">
        <w:rPr>
          <w:b/>
        </w:rPr>
        <w:t>few</w:t>
      </w:r>
      <w:r w:rsidRPr="006F2E80">
        <w:rPr>
          <w:b/>
        </w:rPr>
        <w:t xml:space="preserve"> days?</w:t>
      </w:r>
    </w:p>
    <w:p w:rsidR="000A1D68" w:rsidRDefault="000A1D68" w:rsidP="00040474">
      <w:pPr>
        <w:ind w:left="360" w:hanging="360"/>
      </w:pPr>
      <w:r>
        <w:t>A.</w:t>
      </w:r>
      <w:r>
        <w:tab/>
      </w:r>
      <w:r w:rsidR="00DE0D83">
        <w:t xml:space="preserve">Although the course is structured to be completed in the first week of the fall intersession, assignments will be accepted for full credit until the end of the second and final week of the fall intersession.  However, most students find that participation in the ConocoPhillips Bridge course during the second week of the fall intersession leaves little time for additional schoolwork, so the student is very strongly encouraged to complete ENGR 1108 in the first week.  </w:t>
      </w:r>
    </w:p>
    <w:p w:rsidR="000A1D68" w:rsidRDefault="000A1D68" w:rsidP="00040474">
      <w:pPr>
        <w:ind w:left="360" w:hanging="360"/>
      </w:pPr>
    </w:p>
    <w:p w:rsidR="000A1D68" w:rsidRPr="006F2E80" w:rsidRDefault="000A1D68" w:rsidP="000A1D68">
      <w:pPr>
        <w:ind w:left="360" w:hanging="360"/>
        <w:rPr>
          <w:b/>
        </w:rPr>
      </w:pPr>
      <w:r w:rsidRPr="006F2E80">
        <w:rPr>
          <w:b/>
        </w:rPr>
        <w:t>Q.</w:t>
      </w:r>
      <w:r w:rsidRPr="006F2E80">
        <w:rPr>
          <w:b/>
        </w:rPr>
        <w:tab/>
        <w:t>What if I begin the course and circumstances prevent me from finishing it?</w:t>
      </w:r>
    </w:p>
    <w:p w:rsidR="000A1D68" w:rsidRDefault="000A1D68" w:rsidP="000A1D68">
      <w:pPr>
        <w:ind w:left="360" w:hanging="360"/>
      </w:pPr>
      <w:r>
        <w:t>A.</w:t>
      </w:r>
      <w:r>
        <w:tab/>
      </w:r>
      <w:r w:rsidR="007211A4">
        <w:t>The fall intersession has a date before which the course may be dropped without academic penalty, but on or after that date, a student-initiated drop will count against the drop limit.</w:t>
      </w:r>
    </w:p>
    <w:p w:rsidR="000A1D68" w:rsidRDefault="000A1D68" w:rsidP="000A1D68"/>
    <w:p w:rsidR="00040474" w:rsidRPr="006F2E80" w:rsidRDefault="00040474" w:rsidP="00040474">
      <w:pPr>
        <w:ind w:left="360" w:hanging="360"/>
        <w:rPr>
          <w:b/>
        </w:rPr>
      </w:pPr>
      <w:r w:rsidRPr="006F2E80">
        <w:rPr>
          <w:b/>
        </w:rPr>
        <w:t>Q.</w:t>
      </w:r>
      <w:r w:rsidRPr="006F2E80">
        <w:rPr>
          <w:b/>
        </w:rPr>
        <w:tab/>
        <w:t>How is the course grade determined?  Will it contribute to my TTU GPA?</w:t>
      </w:r>
    </w:p>
    <w:p w:rsidR="00040474" w:rsidRDefault="00040474" w:rsidP="00040474">
      <w:pPr>
        <w:ind w:left="360" w:hanging="360"/>
      </w:pPr>
      <w:r>
        <w:t>A.</w:t>
      </w:r>
      <w:r>
        <w:tab/>
      </w:r>
      <w:r w:rsidR="00A868DF">
        <w:t xml:space="preserve">The course grade </w:t>
      </w:r>
      <w:r w:rsidR="00E44C45">
        <w:t>i</w:t>
      </w:r>
      <w:r w:rsidR="00A868DF">
        <w:t>s determined 80% from the online homework, for which unlimited attempts are allowed, and 20% from the course “final examination” which is also taken online.  Most students earn a grade of A.  This grade does contribute to your TTU GPA, so if you do all the work, you can begin your fall semester with a 4.0 GPA!</w:t>
      </w:r>
    </w:p>
    <w:p w:rsidR="0028557C" w:rsidRDefault="0028557C" w:rsidP="00040474">
      <w:pPr>
        <w:ind w:left="360" w:hanging="360"/>
      </w:pPr>
    </w:p>
    <w:p w:rsidR="0028557C" w:rsidRPr="006F2E80" w:rsidRDefault="0028557C" w:rsidP="00040474">
      <w:pPr>
        <w:ind w:left="360" w:hanging="360"/>
        <w:rPr>
          <w:b/>
        </w:rPr>
      </w:pPr>
      <w:r w:rsidRPr="006F2E80">
        <w:rPr>
          <w:b/>
        </w:rPr>
        <w:t>Q.</w:t>
      </w:r>
      <w:r w:rsidRPr="006F2E80">
        <w:rPr>
          <w:b/>
        </w:rPr>
        <w:tab/>
        <w:t xml:space="preserve">How do I register for </w:t>
      </w:r>
      <w:r w:rsidR="007211A4">
        <w:rPr>
          <w:b/>
        </w:rPr>
        <w:t>ENGR 1108</w:t>
      </w:r>
      <w:r w:rsidRPr="006F2E80">
        <w:rPr>
          <w:b/>
        </w:rPr>
        <w:t>?</w:t>
      </w:r>
    </w:p>
    <w:p w:rsidR="0028557C" w:rsidRDefault="0028557C" w:rsidP="00040474">
      <w:pPr>
        <w:ind w:left="360" w:hanging="360"/>
      </w:pPr>
      <w:r>
        <w:t>A.</w:t>
      </w:r>
      <w:r>
        <w:tab/>
        <w:t xml:space="preserve">You can register for </w:t>
      </w:r>
      <w:r w:rsidR="007211A4">
        <w:t>ENGR 1108</w:t>
      </w:r>
      <w:r>
        <w:t xml:space="preserve"> just as you would for any fall course.  If you are an incoming freshman or transfer student, you will be able to register for </w:t>
      </w:r>
      <w:r w:rsidR="007211A4">
        <w:t>ENGR 1108</w:t>
      </w:r>
      <w:r>
        <w:t xml:space="preserve"> during orientation.  However, </w:t>
      </w:r>
      <w:proofErr w:type="gramStart"/>
      <w:r w:rsidR="007211A4">
        <w:t>your</w:t>
      </w:r>
      <w:proofErr w:type="gramEnd"/>
      <w:r w:rsidR="007211A4">
        <w:t xml:space="preserve"> CPE score must be in the range of 15-35 (43%-100%)</w:t>
      </w:r>
      <w:r>
        <w:t>:</w:t>
      </w:r>
    </w:p>
    <w:p w:rsidR="00A868DF" w:rsidRDefault="00A868DF" w:rsidP="00040474">
      <w:pPr>
        <w:ind w:left="360" w:hanging="360"/>
      </w:pPr>
    </w:p>
    <w:p w:rsidR="00A868DF" w:rsidRPr="006F2E80" w:rsidRDefault="00A868DF" w:rsidP="00040474">
      <w:pPr>
        <w:ind w:left="360" w:hanging="360"/>
        <w:rPr>
          <w:b/>
        </w:rPr>
      </w:pPr>
      <w:r w:rsidRPr="006F2E80">
        <w:rPr>
          <w:b/>
        </w:rPr>
        <w:t>Q.</w:t>
      </w:r>
      <w:r w:rsidRPr="006F2E80">
        <w:rPr>
          <w:b/>
        </w:rPr>
        <w:tab/>
        <w:t>How muc</w:t>
      </w:r>
      <w:r w:rsidR="0028557C" w:rsidRPr="006F2E80">
        <w:rPr>
          <w:b/>
        </w:rPr>
        <w:t>h does the course cost?</w:t>
      </w:r>
    </w:p>
    <w:p w:rsidR="0028557C" w:rsidRDefault="0028557C" w:rsidP="00040474">
      <w:pPr>
        <w:ind w:left="360" w:hanging="360"/>
      </w:pPr>
      <w:r>
        <w:t>A.</w:t>
      </w:r>
      <w:r>
        <w:tab/>
        <w:t xml:space="preserve">You will need to pay tuition and fees associated with the registration for one </w:t>
      </w:r>
      <w:r w:rsidR="007211A4">
        <w:t>additional credit.</w:t>
      </w:r>
    </w:p>
    <w:p w:rsidR="00E44C45" w:rsidRDefault="00E44C45" w:rsidP="00040474">
      <w:pPr>
        <w:ind w:left="360" w:hanging="360"/>
      </w:pPr>
    </w:p>
    <w:p w:rsidR="00E44C45" w:rsidRPr="006F2E80" w:rsidRDefault="00E44C45" w:rsidP="00040474">
      <w:pPr>
        <w:ind w:left="360" w:hanging="360"/>
        <w:rPr>
          <w:b/>
        </w:rPr>
      </w:pPr>
      <w:r w:rsidRPr="006F2E80">
        <w:rPr>
          <w:b/>
        </w:rPr>
        <w:t>Q.</w:t>
      </w:r>
      <w:r w:rsidRPr="006F2E80">
        <w:rPr>
          <w:b/>
        </w:rPr>
        <w:tab/>
        <w:t>Do I need to purchase any additional books or materials to take CHEM 1101?</w:t>
      </w:r>
    </w:p>
    <w:p w:rsidR="00E44C45" w:rsidRDefault="00E44C45" w:rsidP="00040474">
      <w:pPr>
        <w:ind w:left="360" w:hanging="360"/>
      </w:pPr>
      <w:r>
        <w:t>A.</w:t>
      </w:r>
      <w:r>
        <w:tab/>
      </w:r>
      <w:r w:rsidR="00461C70">
        <w:t>All</w:t>
      </w:r>
      <w:r w:rsidR="007211A4">
        <w:t xml:space="preserve"> content is delivered online</w:t>
      </w:r>
      <w:r w:rsidR="00461C70">
        <w:t xml:space="preserve"> through the course Blackboard site, and there is no text.  Access to the homework site is </w:t>
      </w:r>
      <w:r>
        <w:t xml:space="preserve">purchased on line </w:t>
      </w:r>
      <w:r w:rsidR="00461C70">
        <w:t xml:space="preserve">directly from the publisher for about $50 </w:t>
      </w:r>
      <w:r>
        <w:t>at th</w:t>
      </w:r>
      <w:r w:rsidR="00461C70">
        <w:t>e start of the course</w:t>
      </w:r>
      <w:r>
        <w:t>.</w:t>
      </w:r>
    </w:p>
    <w:p w:rsidR="00040474" w:rsidRPr="00763791" w:rsidRDefault="00040474" w:rsidP="00040474">
      <w:pPr>
        <w:ind w:left="360" w:hanging="360"/>
      </w:pPr>
    </w:p>
    <w:sectPr w:rsidR="00040474" w:rsidRPr="00763791" w:rsidSect="00A45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6F24"/>
    <w:multiLevelType w:val="hybridMultilevel"/>
    <w:tmpl w:val="27D6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F20C8"/>
    <w:multiLevelType w:val="hybridMultilevel"/>
    <w:tmpl w:val="BDE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791"/>
    <w:rsid w:val="00040474"/>
    <w:rsid w:val="000A1D68"/>
    <w:rsid w:val="0020244A"/>
    <w:rsid w:val="0028557C"/>
    <w:rsid w:val="004300E8"/>
    <w:rsid w:val="00433415"/>
    <w:rsid w:val="00461C70"/>
    <w:rsid w:val="0069332D"/>
    <w:rsid w:val="006A1530"/>
    <w:rsid w:val="006A4BFD"/>
    <w:rsid w:val="006E2E9B"/>
    <w:rsid w:val="006F2E80"/>
    <w:rsid w:val="007211A4"/>
    <w:rsid w:val="00763791"/>
    <w:rsid w:val="00A45486"/>
    <w:rsid w:val="00A7197B"/>
    <w:rsid w:val="00A868DF"/>
    <w:rsid w:val="00C63DB6"/>
    <w:rsid w:val="00CB4E91"/>
    <w:rsid w:val="00D11443"/>
    <w:rsid w:val="00DE0D83"/>
    <w:rsid w:val="00E34B73"/>
    <w:rsid w:val="00E44C45"/>
    <w:rsid w:val="00F0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91"/>
    <w:pPr>
      <w:ind w:left="720"/>
      <w:contextualSpacing/>
    </w:pPr>
  </w:style>
  <w:style w:type="paragraph" w:styleId="BalloonText">
    <w:name w:val="Balloon Text"/>
    <w:basedOn w:val="Normal"/>
    <w:link w:val="BalloonTextChar"/>
    <w:uiPriority w:val="99"/>
    <w:semiHidden/>
    <w:unhideWhenUsed/>
    <w:rsid w:val="006A4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Documents\CHEM%201101\Assessment\Chem1307_1101_R(1)_F12_F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chemeClr val="accent1">
            <a:lumMod val="40000"/>
            <a:lumOff val="60000"/>
          </a:schemeClr>
        </a:solidFill>
        <a:ln>
          <a:solidFill>
            <a:schemeClr val="accent1">
              <a:lumMod val="40000"/>
              <a:lumOff val="60000"/>
            </a:schemeClr>
          </a:solidFill>
        </a:ln>
      </c:spPr>
    </c:floor>
    <c:sideWall>
      <c:spPr>
        <a:solidFill>
          <a:schemeClr val="accent1">
            <a:lumMod val="40000"/>
            <a:lumOff val="60000"/>
          </a:schemeClr>
        </a:solidFill>
      </c:spPr>
    </c:sideWall>
    <c:backWall>
      <c:spPr>
        <a:solidFill>
          <a:schemeClr val="accent1">
            <a:lumMod val="40000"/>
            <a:lumOff val="60000"/>
          </a:schemeClr>
        </a:solidFill>
      </c:spPr>
    </c:backWall>
    <c:plotArea>
      <c:layout/>
      <c:bar3DChart>
        <c:barDir val="col"/>
        <c:grouping val="clustered"/>
        <c:ser>
          <c:idx val="1"/>
          <c:order val="0"/>
          <c:tx>
            <c:strRef>
              <c:f>'1307_1101_Fall13'!$Z$3</c:f>
              <c:strCache>
                <c:ptCount val="1"/>
                <c:pt idx="0">
                  <c:v>Bridge</c:v>
                </c:pt>
              </c:strCache>
            </c:strRef>
          </c:tx>
          <c:spPr>
            <a:solidFill>
              <a:schemeClr val="tx1"/>
            </a:solidFill>
          </c:spPr>
          <c:cat>
            <c:strRef>
              <c:f>'1307_1101_Fall13'!$Y$4:$Y$11</c:f>
              <c:strCache>
                <c:ptCount val="8"/>
                <c:pt idx="0">
                  <c:v>15-17</c:v>
                </c:pt>
                <c:pt idx="1">
                  <c:v>18-20</c:v>
                </c:pt>
                <c:pt idx="2">
                  <c:v>21-23</c:v>
                </c:pt>
                <c:pt idx="3">
                  <c:v>24-26</c:v>
                </c:pt>
                <c:pt idx="4">
                  <c:v>27-29</c:v>
                </c:pt>
                <c:pt idx="5">
                  <c:v>30-32</c:v>
                </c:pt>
                <c:pt idx="6">
                  <c:v>33-35</c:v>
                </c:pt>
                <c:pt idx="7">
                  <c:v>all</c:v>
                </c:pt>
              </c:strCache>
            </c:strRef>
          </c:cat>
          <c:val>
            <c:numRef>
              <c:f>'1307_1101_Fall13'!$Z$4:$Z$11</c:f>
              <c:numCache>
                <c:formatCode>0%</c:formatCode>
                <c:ptCount val="8"/>
                <c:pt idx="0">
                  <c:v>0.25454545454545424</c:v>
                </c:pt>
                <c:pt idx="1">
                  <c:v>0.22033898305084748</c:v>
                </c:pt>
                <c:pt idx="2">
                  <c:v>0.21311475409836086</c:v>
                </c:pt>
                <c:pt idx="3">
                  <c:v>0.22580645161290341</c:v>
                </c:pt>
                <c:pt idx="4">
                  <c:v>0.21428571428571427</c:v>
                </c:pt>
                <c:pt idx="5">
                  <c:v>0.14285714285714313</c:v>
                </c:pt>
                <c:pt idx="6" formatCode="General">
                  <c:v>0</c:v>
                </c:pt>
                <c:pt idx="7">
                  <c:v>0.21221864951768518</c:v>
                </c:pt>
              </c:numCache>
            </c:numRef>
          </c:val>
        </c:ser>
        <c:ser>
          <c:idx val="0"/>
          <c:order val="1"/>
          <c:tx>
            <c:strRef>
              <c:f>'1307_1101_Fall13'!$AA$3</c:f>
              <c:strCache>
                <c:ptCount val="1"/>
                <c:pt idx="0">
                  <c:v>No Bridge</c:v>
                </c:pt>
              </c:strCache>
            </c:strRef>
          </c:tx>
          <c:spPr>
            <a:solidFill>
              <a:srgbClr val="C00000"/>
            </a:solidFill>
          </c:spPr>
          <c:cat>
            <c:strRef>
              <c:f>'1307_1101_Fall13'!$Y$4:$Y$11</c:f>
              <c:strCache>
                <c:ptCount val="8"/>
                <c:pt idx="0">
                  <c:v>15-17</c:v>
                </c:pt>
                <c:pt idx="1">
                  <c:v>18-20</c:v>
                </c:pt>
                <c:pt idx="2">
                  <c:v>21-23</c:v>
                </c:pt>
                <c:pt idx="3">
                  <c:v>24-26</c:v>
                </c:pt>
                <c:pt idx="4">
                  <c:v>27-29</c:v>
                </c:pt>
                <c:pt idx="5">
                  <c:v>30-32</c:v>
                </c:pt>
                <c:pt idx="6">
                  <c:v>33-35</c:v>
                </c:pt>
                <c:pt idx="7">
                  <c:v>all</c:v>
                </c:pt>
              </c:strCache>
            </c:strRef>
          </c:cat>
          <c:val>
            <c:numRef>
              <c:f>'1307_1101_Fall13'!$AA$4:$AA$11</c:f>
              <c:numCache>
                <c:formatCode>0%</c:formatCode>
                <c:ptCount val="8"/>
                <c:pt idx="0">
                  <c:v>0.50877192982456143</c:v>
                </c:pt>
                <c:pt idx="1">
                  <c:v>0.53543307086614156</c:v>
                </c:pt>
                <c:pt idx="2">
                  <c:v>0.43564356435643581</c:v>
                </c:pt>
                <c:pt idx="3">
                  <c:v>0.36363636363636381</c:v>
                </c:pt>
                <c:pt idx="4">
                  <c:v>0.29213483146067432</c:v>
                </c:pt>
                <c:pt idx="5">
                  <c:v>0.25405405405405407</c:v>
                </c:pt>
                <c:pt idx="6">
                  <c:v>0.13846153846153866</c:v>
                </c:pt>
                <c:pt idx="7">
                  <c:v>0.38527284681130836</c:v>
                </c:pt>
              </c:numCache>
            </c:numRef>
          </c:val>
        </c:ser>
        <c:shape val="box"/>
        <c:axId val="93661440"/>
        <c:axId val="93664384"/>
        <c:axId val="0"/>
      </c:bar3DChart>
      <c:catAx>
        <c:axId val="93661440"/>
        <c:scaling>
          <c:orientation val="minMax"/>
        </c:scaling>
        <c:axPos val="b"/>
        <c:title>
          <c:tx>
            <c:rich>
              <a:bodyPr/>
              <a:lstStyle/>
              <a:p>
                <a:pPr>
                  <a:defRPr sz="1400"/>
                </a:pPr>
                <a:r>
                  <a:rPr lang="en-US" sz="1400"/>
                  <a:t>CPE Score</a:t>
                </a:r>
              </a:p>
            </c:rich>
          </c:tx>
          <c:layout>
            <c:manualLayout>
              <c:xMode val="edge"/>
              <c:yMode val="edge"/>
              <c:x val="0.45051706036745504"/>
              <c:y val="0.87082567804024646"/>
            </c:manualLayout>
          </c:layout>
        </c:title>
        <c:tickLblPos val="nextTo"/>
        <c:txPr>
          <a:bodyPr rot="-2700000"/>
          <a:lstStyle/>
          <a:p>
            <a:pPr>
              <a:defRPr>
                <a:latin typeface="Arial" pitchFamily="34" charset="0"/>
                <a:cs typeface="Arial" pitchFamily="34" charset="0"/>
              </a:defRPr>
            </a:pPr>
            <a:endParaRPr lang="en-US"/>
          </a:p>
        </c:txPr>
        <c:crossAx val="93664384"/>
        <c:crosses val="autoZero"/>
        <c:auto val="1"/>
        <c:lblAlgn val="ctr"/>
        <c:lblOffset val="100"/>
      </c:catAx>
      <c:valAx>
        <c:axId val="93664384"/>
        <c:scaling>
          <c:orientation val="minMax"/>
        </c:scaling>
        <c:axPos val="l"/>
        <c:majorGridlines/>
        <c:title>
          <c:tx>
            <c:rich>
              <a:bodyPr rot="-5400000" vert="horz"/>
              <a:lstStyle/>
              <a:p>
                <a:pPr>
                  <a:defRPr/>
                </a:pPr>
                <a:r>
                  <a:rPr lang="en-US" sz="1400">
                    <a:latin typeface="Arial" pitchFamily="34" charset="0"/>
                    <a:cs typeface="Arial" pitchFamily="34" charset="0"/>
                  </a:rPr>
                  <a:t>%DFW</a:t>
                </a:r>
              </a:p>
            </c:rich>
          </c:tx>
        </c:title>
        <c:numFmt formatCode="0%" sourceLinked="1"/>
        <c:minorTickMark val="out"/>
        <c:tickLblPos val="nextTo"/>
        <c:txPr>
          <a:bodyPr/>
          <a:lstStyle/>
          <a:p>
            <a:pPr>
              <a:defRPr>
                <a:latin typeface="Arial" pitchFamily="34" charset="0"/>
                <a:cs typeface="Arial" pitchFamily="34" charset="0"/>
              </a:defRPr>
            </a:pPr>
            <a:endParaRPr lang="en-US"/>
          </a:p>
        </c:txPr>
        <c:crossAx val="93661440"/>
        <c:crosses val="autoZero"/>
        <c:crossBetween val="between"/>
        <c:majorUnit val="0.2"/>
        <c:minorUnit val="0.1"/>
      </c:valAx>
    </c:plotArea>
    <c:legend>
      <c:legendPos val="t"/>
      <c:txPr>
        <a:bodyPr/>
        <a:lstStyle/>
        <a:p>
          <a:pPr>
            <a:defRPr sz="1200">
              <a:latin typeface="Arial" pitchFamily="34" charset="0"/>
              <a:cs typeface="Arial"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Gellene</dc:creator>
  <cp:keywords/>
  <dc:description/>
  <cp:lastModifiedBy>Gellene</cp:lastModifiedBy>
  <cp:revision>3</cp:revision>
  <dcterms:created xsi:type="dcterms:W3CDTF">2015-03-16T21:27:00Z</dcterms:created>
  <dcterms:modified xsi:type="dcterms:W3CDTF">2015-03-16T21:56:00Z</dcterms:modified>
</cp:coreProperties>
</file>