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sdt>
      <w:sdtPr>
        <w:rPr>
          <w:rFonts w:ascii="Times New Roman" w:hAnsi="Times New Roman" w:cs="Times New Roman"/>
          <w:color w:val="auto"/>
          <w:sz w:val="24"/>
          <w:szCs w:val="24"/>
        </w:rPr>
        <w:id w:val="1030703813"/>
        <w:docPartObj>
          <w:docPartGallery w:val="Cover Pages"/>
          <w:docPartUnique/>
        </w:docPartObj>
      </w:sdtPr>
      <w:sdtEndPr>
        <w:rPr>
          <w:b/>
          <w:shd w:val="clear" w:color="auto" w:fill="FFFFFF"/>
        </w:rPr>
      </w:sdtEndPr>
      <w:sdtContent>
        <w:p w14:paraId="4164D702" w14:textId="77777777" w:rsidR="00B141D5" w:rsidRPr="00113507" w:rsidRDefault="00B141D5" w:rsidP="00B141D5">
          <w:pPr>
            <w:spacing w:after="0" w:line="240" w:lineRule="auto"/>
            <w:jc w:val="center"/>
            <w:rPr>
              <w:rFonts w:ascii="Times New Roman" w:hAnsi="Times New Roman" w:cs="Times New Roman"/>
              <w:b/>
              <w:color w:val="auto"/>
              <w:sz w:val="24"/>
              <w:szCs w:val="24"/>
              <w:shd w:val="clear" w:color="auto" w:fill="FFFFFF"/>
            </w:rPr>
          </w:pPr>
        </w:p>
        <w:p w14:paraId="5499478F" w14:textId="77777777" w:rsidR="00B141D5" w:rsidRPr="00113507" w:rsidRDefault="00B141D5" w:rsidP="00B141D5">
          <w:pPr>
            <w:spacing w:after="0" w:line="240" w:lineRule="auto"/>
            <w:jc w:val="center"/>
            <w:rPr>
              <w:rFonts w:ascii="Times New Roman" w:hAnsi="Times New Roman" w:cs="Times New Roman"/>
              <w:b/>
              <w:color w:val="auto"/>
              <w:sz w:val="24"/>
              <w:szCs w:val="24"/>
              <w:shd w:val="clear" w:color="auto" w:fill="FFFFFF"/>
            </w:rPr>
          </w:pPr>
          <w:r w:rsidRPr="00113507">
            <w:rPr>
              <w:rFonts w:ascii="Times New Roman" w:hAnsi="Times New Roman" w:cs="Times New Roman"/>
              <w:noProof/>
              <w:color w:val="auto"/>
              <w:sz w:val="24"/>
              <w:szCs w:val="24"/>
            </w:rPr>
            <w:drawing>
              <wp:anchor distT="0" distB="0" distL="114300" distR="114300" simplePos="0" relativeHeight="251659264" behindDoc="0" locked="0" layoutInCell="1" allowOverlap="1" wp14:anchorId="3347F5D1" wp14:editId="6AAE175F">
                <wp:simplePos x="0" y="0"/>
                <wp:positionH relativeFrom="margin">
                  <wp:posOffset>4006215</wp:posOffset>
                </wp:positionH>
                <wp:positionV relativeFrom="margin">
                  <wp:posOffset>201930</wp:posOffset>
                </wp:positionV>
                <wp:extent cx="1931670" cy="989330"/>
                <wp:effectExtent l="0" t="0" r="0" b="1270"/>
                <wp:wrapSquare wrapText="bothSides"/>
                <wp:docPr id="3" name="Picture 1" descr="Image result for texas tech college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exas tech college of educat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31670" cy="989330"/>
                        </a:xfrm>
                        <a:prstGeom prst="rect">
                          <a:avLst/>
                        </a:prstGeom>
                        <a:noFill/>
                        <a:ln>
                          <a:noFill/>
                        </a:ln>
                      </pic:spPr>
                    </pic:pic>
                  </a:graphicData>
                </a:graphic>
              </wp:anchor>
            </w:drawing>
          </w:r>
        </w:p>
        <w:p w14:paraId="175B1F01" w14:textId="77777777" w:rsidR="00B141D5" w:rsidRPr="00113507" w:rsidRDefault="009C39FD" w:rsidP="00AB4891">
          <w:pPr>
            <w:spacing w:after="0" w:line="240" w:lineRule="auto"/>
            <w:jc w:val="center"/>
            <w:rPr>
              <w:rFonts w:ascii="Times New Roman" w:hAnsi="Times New Roman" w:cs="Times New Roman"/>
              <w:b/>
              <w:color w:val="auto"/>
              <w:sz w:val="24"/>
              <w:szCs w:val="24"/>
              <w:shd w:val="clear" w:color="auto" w:fill="FFFFFF"/>
            </w:rPr>
          </w:pPr>
          <w:r>
            <w:rPr>
              <w:rFonts w:ascii="Times New Roman" w:hAnsi="Times New Roman" w:cs="Times New Roman"/>
              <w:noProof/>
              <w:color w:val="auto"/>
              <w:sz w:val="24"/>
              <w:szCs w:val="24"/>
            </w:rPr>
            <w:drawing>
              <wp:inline distT="0" distB="0" distL="0" distR="0" wp14:anchorId="33C381CC" wp14:editId="6E574F04">
                <wp:extent cx="2941320" cy="717511"/>
                <wp:effectExtent l="0" t="0" r="0" b="0"/>
                <wp:docPr id="4" name="Picture 1" descr="https://events.umich.edu/media/cache/event_large_lightbox/media/attachments/2014/09/event_18948_orig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vents.umich.edu/media/cache/event_large_lightbox/media/attachments/2014/09/event_18948_origin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910" cy="720338"/>
                        </a:xfrm>
                        <a:prstGeom prst="rect">
                          <a:avLst/>
                        </a:prstGeom>
                        <a:noFill/>
                        <a:ln>
                          <a:noFill/>
                        </a:ln>
                      </pic:spPr>
                    </pic:pic>
                  </a:graphicData>
                </a:graphic>
              </wp:inline>
            </w:drawing>
          </w:r>
        </w:p>
        <w:p w14:paraId="1DC12BFA" w14:textId="77777777" w:rsidR="00B141D5" w:rsidRPr="00113507" w:rsidRDefault="00B141D5" w:rsidP="00AB4891">
          <w:pPr>
            <w:spacing w:after="0" w:line="240" w:lineRule="auto"/>
            <w:jc w:val="center"/>
            <w:rPr>
              <w:rFonts w:ascii="Times New Roman" w:hAnsi="Times New Roman" w:cs="Times New Roman"/>
              <w:b/>
              <w:color w:val="auto"/>
              <w:sz w:val="24"/>
              <w:szCs w:val="24"/>
              <w:shd w:val="clear" w:color="auto" w:fill="FFFFFF"/>
            </w:rPr>
          </w:pPr>
        </w:p>
        <w:p w14:paraId="16C0DBA8" w14:textId="77777777" w:rsidR="00B141D5" w:rsidRPr="002B710B" w:rsidRDefault="00B141D5" w:rsidP="00AB4891">
          <w:pPr>
            <w:spacing w:after="0" w:line="240" w:lineRule="auto"/>
            <w:rPr>
              <w:rFonts w:ascii="Times New Roman" w:hAnsi="Times New Roman" w:cs="Times New Roman"/>
              <w:b/>
              <w:color w:val="auto"/>
              <w:sz w:val="24"/>
              <w:szCs w:val="24"/>
              <w:shd w:val="clear" w:color="auto" w:fill="FFFFFF"/>
            </w:rPr>
          </w:pPr>
        </w:p>
        <w:p w14:paraId="7FB77A98" w14:textId="77777777" w:rsidR="00B141D5" w:rsidRPr="002B710B" w:rsidRDefault="00B141D5" w:rsidP="00AB4891">
          <w:pPr>
            <w:spacing w:after="0" w:line="240" w:lineRule="auto"/>
            <w:jc w:val="center"/>
            <w:rPr>
              <w:rFonts w:ascii="Times New Roman" w:hAnsi="Times New Roman" w:cs="Times New Roman"/>
              <w:b/>
              <w:color w:val="auto"/>
              <w:sz w:val="24"/>
              <w:szCs w:val="24"/>
              <w:shd w:val="clear" w:color="auto" w:fill="FFFFFF"/>
            </w:rPr>
          </w:pPr>
        </w:p>
        <w:p w14:paraId="3CE70CC2" w14:textId="77777777" w:rsidR="00B141D5" w:rsidRPr="002B710B" w:rsidRDefault="00B141D5" w:rsidP="00AB4891">
          <w:pPr>
            <w:spacing w:after="0" w:line="240" w:lineRule="auto"/>
            <w:jc w:val="center"/>
            <w:rPr>
              <w:rFonts w:ascii="Times New Roman" w:hAnsi="Times New Roman" w:cs="Times New Roman"/>
              <w:b/>
              <w:color w:val="auto"/>
              <w:sz w:val="24"/>
              <w:szCs w:val="24"/>
              <w:shd w:val="clear" w:color="auto" w:fill="FFFFFF"/>
            </w:rPr>
          </w:pPr>
        </w:p>
        <w:p w14:paraId="06E14BEA" w14:textId="77777777" w:rsidR="00B141D5" w:rsidRPr="002B710B" w:rsidRDefault="00B141D5" w:rsidP="00AB4891">
          <w:pPr>
            <w:spacing w:after="0" w:line="240" w:lineRule="auto"/>
            <w:jc w:val="center"/>
            <w:rPr>
              <w:rFonts w:ascii="Times New Roman" w:hAnsi="Times New Roman" w:cs="Times New Roman"/>
              <w:b/>
              <w:color w:val="auto"/>
              <w:sz w:val="24"/>
              <w:szCs w:val="24"/>
              <w:shd w:val="clear" w:color="auto" w:fill="FFFFFF"/>
            </w:rPr>
          </w:pPr>
        </w:p>
        <w:p w14:paraId="0C2A16E5" w14:textId="77777777" w:rsidR="00E23D73" w:rsidRPr="002B710B" w:rsidRDefault="00B141D5" w:rsidP="00AB4891">
          <w:pPr>
            <w:spacing w:after="0" w:line="240" w:lineRule="auto"/>
            <w:jc w:val="center"/>
            <w:rPr>
              <w:rFonts w:ascii="Times New Roman" w:hAnsi="Times New Roman" w:cs="Times New Roman"/>
              <w:b/>
              <w:color w:val="auto"/>
              <w:sz w:val="36"/>
              <w:szCs w:val="36"/>
              <w:shd w:val="clear" w:color="auto" w:fill="FFFFFF"/>
            </w:rPr>
          </w:pPr>
          <w:r w:rsidRPr="002B710B">
            <w:rPr>
              <w:rFonts w:ascii="Times New Roman" w:hAnsi="Times New Roman" w:cs="Times New Roman"/>
              <w:b/>
              <w:color w:val="auto"/>
              <w:sz w:val="36"/>
              <w:szCs w:val="36"/>
              <w:shd w:val="clear" w:color="auto" w:fill="FFFFFF"/>
            </w:rPr>
            <w:t>Does it Take Two to Tango in STEM</w:t>
          </w:r>
          <w:proofErr w:type="gramStart"/>
          <w:r w:rsidRPr="002B710B">
            <w:rPr>
              <w:rFonts w:ascii="Times New Roman" w:hAnsi="Times New Roman" w:cs="Times New Roman"/>
              <w:b/>
              <w:color w:val="auto"/>
              <w:sz w:val="36"/>
              <w:szCs w:val="36"/>
              <w:shd w:val="clear" w:color="auto" w:fill="FFFFFF"/>
            </w:rPr>
            <w:t>?:</w:t>
          </w:r>
          <w:proofErr w:type="gramEnd"/>
          <w:r w:rsidRPr="002B710B">
            <w:rPr>
              <w:rFonts w:ascii="Times New Roman" w:hAnsi="Times New Roman" w:cs="Times New Roman"/>
              <w:b/>
              <w:color w:val="auto"/>
              <w:sz w:val="36"/>
              <w:szCs w:val="36"/>
              <w:shd w:val="clear" w:color="auto" w:fill="FFFFFF"/>
            </w:rPr>
            <w:t xml:space="preserve"> </w:t>
          </w:r>
        </w:p>
        <w:p w14:paraId="45BCFC39" w14:textId="77777777" w:rsidR="00B141D5" w:rsidRPr="002B710B" w:rsidRDefault="00B141D5" w:rsidP="00AB4891">
          <w:pPr>
            <w:spacing w:after="0" w:line="240" w:lineRule="auto"/>
            <w:jc w:val="center"/>
            <w:rPr>
              <w:rFonts w:ascii="Times New Roman" w:hAnsi="Times New Roman" w:cs="Times New Roman"/>
              <w:b/>
              <w:color w:val="auto"/>
              <w:sz w:val="36"/>
              <w:szCs w:val="36"/>
              <w:shd w:val="clear" w:color="auto" w:fill="FFFFFF"/>
            </w:rPr>
          </w:pPr>
          <w:r w:rsidRPr="002B710B">
            <w:rPr>
              <w:rFonts w:ascii="Times New Roman" w:hAnsi="Times New Roman" w:cs="Times New Roman"/>
              <w:b/>
              <w:color w:val="auto"/>
              <w:sz w:val="36"/>
              <w:szCs w:val="36"/>
              <w:shd w:val="clear" w:color="auto" w:fill="FFFFFF"/>
            </w:rPr>
            <w:t xml:space="preserve">Interdisciplinary </w:t>
          </w:r>
          <w:r w:rsidR="00CA0AFA" w:rsidRPr="002B710B">
            <w:rPr>
              <w:rFonts w:ascii="Times New Roman" w:hAnsi="Times New Roman" w:cs="Times New Roman"/>
              <w:b/>
              <w:color w:val="auto"/>
              <w:sz w:val="36"/>
              <w:szCs w:val="36"/>
              <w:shd w:val="clear" w:color="auto" w:fill="FFFFFF"/>
            </w:rPr>
            <w:t>Course</w:t>
          </w:r>
          <w:r w:rsidRPr="002B710B">
            <w:rPr>
              <w:rFonts w:ascii="Times New Roman" w:hAnsi="Times New Roman" w:cs="Times New Roman"/>
              <w:b/>
              <w:color w:val="auto"/>
              <w:sz w:val="36"/>
              <w:szCs w:val="36"/>
              <w:shd w:val="clear" w:color="auto" w:fill="FFFFFF"/>
            </w:rPr>
            <w:t>-</w:t>
          </w:r>
          <w:r w:rsidR="00CA0AFA" w:rsidRPr="002B710B">
            <w:rPr>
              <w:rFonts w:ascii="Times New Roman" w:hAnsi="Times New Roman" w:cs="Times New Roman"/>
              <w:b/>
              <w:color w:val="auto"/>
              <w:sz w:val="36"/>
              <w:szCs w:val="36"/>
              <w:shd w:val="clear" w:color="auto" w:fill="FFFFFF"/>
            </w:rPr>
            <w:t xml:space="preserve">Taking </w:t>
          </w:r>
          <w:r w:rsidRPr="002B710B">
            <w:rPr>
              <w:rFonts w:ascii="Times New Roman" w:hAnsi="Times New Roman" w:cs="Times New Roman"/>
              <w:b/>
              <w:color w:val="auto"/>
              <w:sz w:val="36"/>
              <w:szCs w:val="36"/>
              <w:shd w:val="clear" w:color="auto" w:fill="FFFFFF"/>
            </w:rPr>
            <w:t xml:space="preserve">in </w:t>
          </w:r>
          <w:r w:rsidR="00CA0AFA" w:rsidRPr="002B710B">
            <w:rPr>
              <w:rFonts w:ascii="Times New Roman" w:hAnsi="Times New Roman" w:cs="Times New Roman"/>
              <w:b/>
              <w:color w:val="auto"/>
              <w:sz w:val="36"/>
              <w:szCs w:val="36"/>
              <w:shd w:val="clear" w:color="auto" w:fill="FFFFFF"/>
            </w:rPr>
            <w:t>Community Colleges</w:t>
          </w:r>
        </w:p>
        <w:p w14:paraId="7E24F6E9" w14:textId="77777777" w:rsidR="00B141D5" w:rsidRPr="002B710B" w:rsidRDefault="00B141D5" w:rsidP="00113507">
          <w:pPr>
            <w:spacing w:after="0" w:line="240" w:lineRule="auto"/>
            <w:jc w:val="center"/>
            <w:rPr>
              <w:rFonts w:ascii="Times New Roman" w:eastAsia="Arial Unicode MS" w:hAnsi="Times New Roman" w:cs="Times New Roman"/>
              <w:color w:val="auto"/>
              <w:sz w:val="24"/>
              <w:szCs w:val="24"/>
            </w:rPr>
          </w:pPr>
        </w:p>
        <w:p w14:paraId="6B215189" w14:textId="77777777" w:rsidR="00B141D5" w:rsidRPr="002B710B" w:rsidRDefault="00B141D5" w:rsidP="00113507">
          <w:pPr>
            <w:spacing w:after="0" w:line="240" w:lineRule="auto"/>
            <w:jc w:val="center"/>
            <w:rPr>
              <w:rFonts w:ascii="Times New Roman" w:eastAsia="Arial Unicode MS" w:hAnsi="Times New Roman" w:cs="Times New Roman"/>
              <w:color w:val="auto"/>
              <w:sz w:val="24"/>
              <w:szCs w:val="24"/>
            </w:rPr>
          </w:pPr>
          <w:proofErr w:type="gramStart"/>
          <w:r w:rsidRPr="002B710B">
            <w:rPr>
              <w:rFonts w:ascii="Times New Roman" w:eastAsia="Arial Unicode MS" w:hAnsi="Times New Roman" w:cs="Times New Roman"/>
              <w:color w:val="auto"/>
              <w:sz w:val="24"/>
              <w:szCs w:val="24"/>
            </w:rPr>
            <w:t>by</w:t>
          </w:r>
          <w:proofErr w:type="gramEnd"/>
        </w:p>
        <w:p w14:paraId="7841EF93" w14:textId="77777777" w:rsidR="00B141D5" w:rsidRPr="002B710B" w:rsidRDefault="00B141D5" w:rsidP="002B710B">
          <w:pPr>
            <w:spacing w:after="0" w:line="240" w:lineRule="auto"/>
            <w:jc w:val="center"/>
            <w:rPr>
              <w:rFonts w:ascii="Times New Roman" w:eastAsia="Arial Unicode MS" w:hAnsi="Times New Roman" w:cs="Times New Roman"/>
              <w:color w:val="auto"/>
              <w:sz w:val="24"/>
              <w:szCs w:val="24"/>
            </w:rPr>
          </w:pPr>
        </w:p>
        <w:p w14:paraId="1490CF85" w14:textId="77777777" w:rsidR="00B141D5" w:rsidRPr="002B710B" w:rsidRDefault="00B141D5" w:rsidP="002B710B">
          <w:pPr>
            <w:spacing w:after="0" w:line="240" w:lineRule="auto"/>
            <w:jc w:val="center"/>
            <w:rPr>
              <w:rFonts w:ascii="Times New Roman" w:eastAsia="Arial Unicode MS" w:hAnsi="Times New Roman" w:cs="Times New Roman"/>
              <w:color w:val="auto"/>
              <w:sz w:val="24"/>
              <w:szCs w:val="24"/>
            </w:rPr>
          </w:pPr>
          <w:r w:rsidRPr="002B710B">
            <w:rPr>
              <w:rFonts w:ascii="Times New Roman" w:eastAsia="Arial Unicode MS" w:hAnsi="Times New Roman" w:cs="Times New Roman"/>
              <w:color w:val="auto"/>
              <w:sz w:val="24"/>
              <w:szCs w:val="24"/>
            </w:rPr>
            <w:t>Jonathan Lyman McNaughtan*</w:t>
          </w:r>
        </w:p>
        <w:p w14:paraId="1275D133" w14:textId="77777777" w:rsidR="00B141D5" w:rsidRPr="002B710B" w:rsidRDefault="00B141D5" w:rsidP="002B710B">
          <w:pPr>
            <w:spacing w:after="0" w:line="240" w:lineRule="auto"/>
            <w:jc w:val="center"/>
            <w:rPr>
              <w:rFonts w:ascii="Times New Roman" w:eastAsia="Arial Unicode MS" w:hAnsi="Times New Roman" w:cs="Times New Roman"/>
              <w:color w:val="auto"/>
              <w:sz w:val="24"/>
              <w:szCs w:val="24"/>
            </w:rPr>
          </w:pPr>
          <w:r w:rsidRPr="002B710B">
            <w:rPr>
              <w:rFonts w:ascii="Times New Roman" w:eastAsia="Arial Unicode MS" w:hAnsi="Times New Roman" w:cs="Times New Roman"/>
              <w:color w:val="auto"/>
              <w:sz w:val="24"/>
              <w:szCs w:val="24"/>
            </w:rPr>
            <w:t>Texas Tech University-School of Education</w:t>
          </w:r>
        </w:p>
        <w:p w14:paraId="4CE747A0" w14:textId="77777777" w:rsidR="00B141D5" w:rsidRPr="002B710B" w:rsidRDefault="00B141D5" w:rsidP="002B710B">
          <w:pPr>
            <w:spacing w:after="0" w:line="240" w:lineRule="auto"/>
            <w:jc w:val="center"/>
            <w:rPr>
              <w:rFonts w:ascii="Times New Roman" w:eastAsia="Arial Unicode MS" w:hAnsi="Times New Roman" w:cs="Times New Roman"/>
              <w:color w:val="auto"/>
              <w:sz w:val="24"/>
              <w:szCs w:val="24"/>
            </w:rPr>
          </w:pPr>
        </w:p>
        <w:p w14:paraId="5FB3A482" w14:textId="77777777" w:rsidR="00B141D5" w:rsidRPr="002B710B" w:rsidRDefault="00B141D5" w:rsidP="002B710B">
          <w:pPr>
            <w:widowControl w:val="0"/>
            <w:adjustRightInd w:val="0"/>
            <w:snapToGrid w:val="0"/>
            <w:spacing w:after="0" w:line="240" w:lineRule="auto"/>
            <w:jc w:val="center"/>
            <w:rPr>
              <w:rFonts w:ascii="Times New Roman" w:eastAsia="Arial Unicode MS" w:hAnsi="Times New Roman" w:cs="Times New Roman"/>
              <w:color w:val="auto"/>
              <w:sz w:val="24"/>
              <w:szCs w:val="24"/>
            </w:rPr>
          </w:pPr>
          <w:r w:rsidRPr="002B710B">
            <w:rPr>
              <w:rFonts w:ascii="Times New Roman" w:eastAsia="Arial Unicode MS" w:hAnsi="Times New Roman" w:cs="Times New Roman"/>
              <w:color w:val="auto"/>
              <w:sz w:val="24"/>
              <w:szCs w:val="24"/>
            </w:rPr>
            <w:t>Grant Jackson</w:t>
          </w:r>
        </w:p>
        <w:p w14:paraId="09BAF1D6" w14:textId="77777777" w:rsidR="00B141D5" w:rsidRPr="002B710B" w:rsidRDefault="00B141D5" w:rsidP="002B710B">
          <w:pPr>
            <w:widowControl w:val="0"/>
            <w:spacing w:after="0" w:line="240" w:lineRule="auto"/>
            <w:jc w:val="center"/>
            <w:rPr>
              <w:rFonts w:ascii="Times New Roman" w:hAnsi="Times New Roman" w:cs="Times New Roman"/>
              <w:color w:val="auto"/>
              <w:sz w:val="24"/>
              <w:szCs w:val="24"/>
            </w:rPr>
          </w:pPr>
          <w:r w:rsidRPr="002B710B">
            <w:rPr>
              <w:rFonts w:ascii="Times New Roman" w:hAnsi="Times New Roman" w:cs="Times New Roman"/>
              <w:color w:val="auto"/>
              <w:sz w:val="24"/>
              <w:szCs w:val="24"/>
            </w:rPr>
            <w:t>Center for the Study of Higher and Postsecondary Education</w:t>
          </w:r>
        </w:p>
        <w:p w14:paraId="63DC53B7" w14:textId="77777777" w:rsidR="00B141D5" w:rsidRPr="002B710B" w:rsidRDefault="00B141D5" w:rsidP="002B710B">
          <w:pPr>
            <w:spacing w:after="0" w:line="240" w:lineRule="auto"/>
            <w:rPr>
              <w:rFonts w:ascii="Times New Roman" w:eastAsia="Arial Unicode MS" w:hAnsi="Times New Roman" w:cs="Times New Roman"/>
              <w:color w:val="auto"/>
              <w:sz w:val="24"/>
              <w:szCs w:val="24"/>
            </w:rPr>
          </w:pPr>
        </w:p>
        <w:p w14:paraId="16847D6F" w14:textId="77777777" w:rsidR="00B141D5" w:rsidRPr="002B710B" w:rsidRDefault="00B141D5" w:rsidP="002B710B">
          <w:pPr>
            <w:widowControl w:val="0"/>
            <w:spacing w:after="0" w:line="240" w:lineRule="auto"/>
            <w:jc w:val="center"/>
            <w:rPr>
              <w:rFonts w:ascii="Times New Roman" w:eastAsia="Arial Unicode MS" w:hAnsi="Times New Roman" w:cs="Times New Roman"/>
              <w:color w:val="auto"/>
              <w:sz w:val="24"/>
              <w:szCs w:val="24"/>
            </w:rPr>
          </w:pPr>
          <w:r w:rsidRPr="002B710B">
            <w:rPr>
              <w:rFonts w:ascii="Times New Roman" w:eastAsia="Arial Unicode MS" w:hAnsi="Times New Roman" w:cs="Times New Roman"/>
              <w:color w:val="auto"/>
              <w:sz w:val="24"/>
              <w:szCs w:val="24"/>
            </w:rPr>
            <w:t>Peter Riley Bahr</w:t>
          </w:r>
        </w:p>
        <w:p w14:paraId="73CCB8A7" w14:textId="77777777" w:rsidR="00B141D5" w:rsidRPr="002B710B" w:rsidRDefault="00B141D5" w:rsidP="002B710B">
          <w:pPr>
            <w:widowControl w:val="0"/>
            <w:spacing w:after="0" w:line="240" w:lineRule="auto"/>
            <w:jc w:val="center"/>
            <w:rPr>
              <w:rFonts w:ascii="Times New Roman" w:hAnsi="Times New Roman" w:cs="Times New Roman"/>
              <w:color w:val="auto"/>
              <w:sz w:val="24"/>
              <w:szCs w:val="24"/>
            </w:rPr>
          </w:pPr>
          <w:r w:rsidRPr="002B710B">
            <w:rPr>
              <w:rFonts w:ascii="Times New Roman" w:hAnsi="Times New Roman" w:cs="Times New Roman"/>
              <w:color w:val="auto"/>
              <w:sz w:val="24"/>
              <w:szCs w:val="24"/>
            </w:rPr>
            <w:t>Center for the Study of Higher and Postsecondary Education</w:t>
          </w:r>
        </w:p>
        <w:p w14:paraId="0FD4DAC1" w14:textId="77777777" w:rsidR="00B141D5" w:rsidRDefault="00B141D5" w:rsidP="002B710B">
          <w:pPr>
            <w:widowControl w:val="0"/>
            <w:spacing w:after="0" w:line="240" w:lineRule="auto"/>
            <w:jc w:val="center"/>
            <w:rPr>
              <w:rFonts w:ascii="Times New Roman" w:hAnsi="Times New Roman" w:cs="Times New Roman"/>
              <w:color w:val="auto"/>
              <w:sz w:val="24"/>
              <w:szCs w:val="24"/>
            </w:rPr>
          </w:pPr>
        </w:p>
        <w:p w14:paraId="73D8C9CB" w14:textId="77777777" w:rsidR="00A66DCA" w:rsidRDefault="00A66DCA" w:rsidP="002B710B">
          <w:pPr>
            <w:widowControl w:val="0"/>
            <w:spacing w:after="0" w:line="240" w:lineRule="auto"/>
            <w:jc w:val="center"/>
            <w:rPr>
              <w:rFonts w:ascii="Times New Roman" w:hAnsi="Times New Roman" w:cs="Times New Roman"/>
              <w:color w:val="auto"/>
              <w:sz w:val="24"/>
              <w:szCs w:val="24"/>
            </w:rPr>
          </w:pPr>
        </w:p>
        <w:p w14:paraId="5EC26CFA" w14:textId="77777777" w:rsidR="00A66DCA" w:rsidRPr="00113507" w:rsidRDefault="00A66DCA" w:rsidP="002B710B">
          <w:pPr>
            <w:widowControl w:val="0"/>
            <w:spacing w:after="0" w:line="240" w:lineRule="auto"/>
            <w:jc w:val="center"/>
            <w:rPr>
              <w:rFonts w:ascii="Times New Roman" w:hAnsi="Times New Roman" w:cs="Times New Roman"/>
              <w:color w:val="auto"/>
              <w:sz w:val="24"/>
              <w:szCs w:val="24"/>
            </w:rPr>
          </w:pPr>
        </w:p>
        <w:p w14:paraId="63DB92F4" w14:textId="77777777" w:rsidR="00B141D5" w:rsidRPr="002B710B" w:rsidRDefault="00E701C6" w:rsidP="002B710B">
          <w:pPr>
            <w:spacing w:after="0" w:line="240" w:lineRule="auto"/>
            <w:jc w:val="center"/>
            <w:rPr>
              <w:rFonts w:ascii="Times New Roman" w:eastAsia="Arial Unicode MS" w:hAnsi="Times New Roman" w:cs="Times New Roman"/>
              <w:color w:val="auto"/>
              <w:sz w:val="24"/>
              <w:szCs w:val="24"/>
            </w:rPr>
          </w:pPr>
          <w:r w:rsidRPr="002B710B">
            <w:rPr>
              <w:rFonts w:ascii="Times New Roman" w:eastAsia="Arial Unicode MS" w:hAnsi="Times New Roman" w:cs="Times New Roman"/>
              <w:color w:val="auto"/>
              <w:sz w:val="24"/>
              <w:szCs w:val="24"/>
            </w:rPr>
            <w:t xml:space="preserve">Revised </w:t>
          </w:r>
          <w:r w:rsidR="007E581F">
            <w:rPr>
              <w:rFonts w:ascii="Times New Roman" w:eastAsia="Arial Unicode MS" w:hAnsi="Times New Roman" w:cs="Times New Roman"/>
              <w:color w:val="auto"/>
              <w:sz w:val="24"/>
              <w:szCs w:val="24"/>
            </w:rPr>
            <w:t>December 26</w:t>
          </w:r>
          <w:r w:rsidR="00B141D5" w:rsidRPr="002B710B">
            <w:rPr>
              <w:rFonts w:ascii="Times New Roman" w:eastAsia="Arial Unicode MS" w:hAnsi="Times New Roman" w:cs="Times New Roman"/>
              <w:color w:val="auto"/>
              <w:sz w:val="24"/>
              <w:szCs w:val="24"/>
            </w:rPr>
            <w:t>, 2016</w:t>
          </w:r>
        </w:p>
        <w:p w14:paraId="79A17633" w14:textId="77777777" w:rsidR="00B141D5" w:rsidRPr="002B710B" w:rsidRDefault="00B141D5" w:rsidP="002B710B">
          <w:pPr>
            <w:spacing w:after="0" w:line="240" w:lineRule="auto"/>
            <w:jc w:val="center"/>
            <w:rPr>
              <w:rFonts w:ascii="Times New Roman" w:eastAsia="Arial Unicode MS" w:hAnsi="Times New Roman" w:cs="Times New Roman"/>
              <w:color w:val="auto"/>
              <w:sz w:val="24"/>
              <w:szCs w:val="24"/>
            </w:rPr>
          </w:pPr>
        </w:p>
        <w:p w14:paraId="42408162" w14:textId="77777777" w:rsidR="009C39FD" w:rsidRDefault="009C39FD">
          <w:pPr>
            <w:spacing w:after="0"/>
            <w:rPr>
              <w:rFonts w:ascii="Times New Roman" w:hAnsi="Times New Roman" w:cs="Times New Roman"/>
              <w:color w:val="auto"/>
              <w:sz w:val="24"/>
              <w:szCs w:val="24"/>
            </w:rPr>
          </w:pPr>
        </w:p>
        <w:p w14:paraId="3FB05402" w14:textId="77777777" w:rsidR="009C39FD" w:rsidRDefault="009C39FD">
          <w:pPr>
            <w:spacing w:after="0"/>
            <w:rPr>
              <w:rFonts w:ascii="Times New Roman" w:hAnsi="Times New Roman" w:cs="Times New Roman"/>
              <w:color w:val="auto"/>
              <w:sz w:val="24"/>
              <w:szCs w:val="24"/>
            </w:rPr>
          </w:pPr>
        </w:p>
        <w:p w14:paraId="6A93AE89" w14:textId="77777777" w:rsidR="009C39FD" w:rsidRDefault="009C39FD">
          <w:pPr>
            <w:spacing w:after="0"/>
            <w:rPr>
              <w:rFonts w:ascii="Times New Roman" w:hAnsi="Times New Roman" w:cs="Times New Roman"/>
              <w:color w:val="auto"/>
              <w:sz w:val="24"/>
              <w:szCs w:val="24"/>
            </w:rPr>
          </w:pPr>
        </w:p>
        <w:p w14:paraId="3E9BA77E" w14:textId="77777777" w:rsidR="009C39FD" w:rsidRDefault="00B141D5">
          <w:pPr>
            <w:spacing w:after="0"/>
            <w:rPr>
              <w:rFonts w:ascii="Times New Roman" w:hAnsi="Times New Roman" w:cs="Times New Roman"/>
              <w:color w:val="auto"/>
              <w:sz w:val="24"/>
              <w:szCs w:val="24"/>
            </w:rPr>
          </w:pPr>
          <w:r w:rsidRPr="002B710B">
            <w:rPr>
              <w:rFonts w:ascii="Times New Roman" w:hAnsi="Times New Roman" w:cs="Times New Roman"/>
              <w:color w:val="auto"/>
              <w:sz w:val="24"/>
              <w:szCs w:val="24"/>
            </w:rPr>
            <w:t xml:space="preserve">Recommended Citation: </w:t>
          </w:r>
          <w:r w:rsidR="00AB4891" w:rsidRPr="002B710B">
            <w:rPr>
              <w:rFonts w:ascii="Times New Roman" w:hAnsi="Times New Roman" w:cs="Times New Roman"/>
              <w:color w:val="auto"/>
              <w:sz w:val="24"/>
              <w:szCs w:val="24"/>
            </w:rPr>
            <w:t xml:space="preserve"> </w:t>
          </w:r>
          <w:r w:rsidRPr="002B710B">
            <w:rPr>
              <w:rFonts w:ascii="Times New Roman" w:hAnsi="Times New Roman" w:cs="Times New Roman"/>
              <w:color w:val="auto"/>
              <w:sz w:val="24"/>
              <w:szCs w:val="24"/>
            </w:rPr>
            <w:t>McNaughtan, J.</w:t>
          </w:r>
          <w:r w:rsidR="00E83995">
            <w:rPr>
              <w:rFonts w:ascii="Times New Roman" w:hAnsi="Times New Roman" w:cs="Times New Roman"/>
              <w:color w:val="auto"/>
              <w:sz w:val="24"/>
              <w:szCs w:val="24"/>
            </w:rPr>
            <w:t xml:space="preserve"> L.</w:t>
          </w:r>
          <w:r w:rsidRPr="00113507">
            <w:rPr>
              <w:rFonts w:ascii="Times New Roman" w:hAnsi="Times New Roman" w:cs="Times New Roman"/>
              <w:color w:val="auto"/>
              <w:sz w:val="24"/>
              <w:szCs w:val="24"/>
            </w:rPr>
            <w:t xml:space="preserve">, Jackson, G., &amp; Bahr, P. R. (2016). </w:t>
          </w:r>
          <w:r w:rsidRPr="00113507">
            <w:rPr>
              <w:rFonts w:ascii="Times New Roman" w:hAnsi="Times New Roman" w:cs="Times New Roman"/>
              <w:i/>
              <w:color w:val="auto"/>
              <w:sz w:val="24"/>
              <w:szCs w:val="24"/>
            </w:rPr>
            <w:t xml:space="preserve">Does it </w:t>
          </w:r>
          <w:r w:rsidR="00CA0AFA" w:rsidRPr="002B710B">
            <w:rPr>
              <w:rFonts w:ascii="Times New Roman" w:hAnsi="Times New Roman" w:cs="Times New Roman"/>
              <w:i/>
              <w:color w:val="auto"/>
              <w:sz w:val="24"/>
              <w:szCs w:val="24"/>
            </w:rPr>
            <w:t xml:space="preserve">take two </w:t>
          </w:r>
          <w:r w:rsidRPr="002B710B">
            <w:rPr>
              <w:rFonts w:ascii="Times New Roman" w:hAnsi="Times New Roman" w:cs="Times New Roman"/>
              <w:i/>
              <w:color w:val="auto"/>
              <w:sz w:val="24"/>
              <w:szCs w:val="24"/>
            </w:rPr>
            <w:t xml:space="preserve">to </w:t>
          </w:r>
          <w:r w:rsidR="00CA0AFA" w:rsidRPr="002B710B">
            <w:rPr>
              <w:rFonts w:ascii="Times New Roman" w:hAnsi="Times New Roman" w:cs="Times New Roman"/>
              <w:i/>
              <w:color w:val="auto"/>
              <w:sz w:val="24"/>
              <w:szCs w:val="24"/>
            </w:rPr>
            <w:t xml:space="preserve">tango </w:t>
          </w:r>
          <w:r w:rsidRPr="002B710B">
            <w:rPr>
              <w:rFonts w:ascii="Times New Roman" w:hAnsi="Times New Roman" w:cs="Times New Roman"/>
              <w:i/>
              <w:color w:val="auto"/>
              <w:sz w:val="24"/>
              <w:szCs w:val="24"/>
            </w:rPr>
            <w:t>in STEM</w:t>
          </w:r>
          <w:proofErr w:type="gramStart"/>
          <w:r w:rsidRPr="002B710B">
            <w:rPr>
              <w:rFonts w:ascii="Times New Roman" w:hAnsi="Times New Roman" w:cs="Times New Roman"/>
              <w:i/>
              <w:color w:val="auto"/>
              <w:sz w:val="24"/>
              <w:szCs w:val="24"/>
            </w:rPr>
            <w:t>?:</w:t>
          </w:r>
          <w:proofErr w:type="gramEnd"/>
          <w:r w:rsidRPr="002B710B">
            <w:rPr>
              <w:rFonts w:ascii="Times New Roman" w:hAnsi="Times New Roman" w:cs="Times New Roman"/>
              <w:i/>
              <w:color w:val="auto"/>
              <w:sz w:val="24"/>
              <w:szCs w:val="24"/>
            </w:rPr>
            <w:t xml:space="preserve"> Interdisciplinary course-taking in community colleges.</w:t>
          </w:r>
          <w:r w:rsidRPr="002B710B">
            <w:rPr>
              <w:rFonts w:ascii="Times New Roman" w:hAnsi="Times New Roman" w:cs="Times New Roman"/>
              <w:color w:val="auto"/>
              <w:sz w:val="24"/>
              <w:szCs w:val="24"/>
            </w:rPr>
            <w:t xml:space="preserve"> Lubbock, Texas: School of Education, Texas Tech University. </w:t>
          </w:r>
        </w:p>
        <w:p w14:paraId="747571EC" w14:textId="77777777" w:rsidR="009C39FD" w:rsidRDefault="009C39FD">
          <w:pPr>
            <w:spacing w:after="0"/>
            <w:rPr>
              <w:rFonts w:ascii="Times New Roman" w:hAnsi="Times New Roman" w:cs="Times New Roman"/>
              <w:color w:val="auto"/>
              <w:sz w:val="24"/>
              <w:szCs w:val="24"/>
            </w:rPr>
          </w:pPr>
        </w:p>
        <w:p w14:paraId="58A0732D" w14:textId="77777777" w:rsidR="009C39FD" w:rsidRDefault="009C39FD">
          <w:pPr>
            <w:spacing w:after="0"/>
            <w:rPr>
              <w:rFonts w:ascii="Times New Roman" w:hAnsi="Times New Roman" w:cs="Times New Roman"/>
              <w:color w:val="auto"/>
              <w:sz w:val="24"/>
              <w:szCs w:val="24"/>
            </w:rPr>
          </w:pPr>
        </w:p>
        <w:p w14:paraId="1E6F7CB6" w14:textId="77777777" w:rsidR="009C39FD" w:rsidRDefault="00B141D5">
          <w:pPr>
            <w:spacing w:after="0"/>
            <w:rPr>
              <w:rFonts w:ascii="Times New Roman" w:hAnsi="Times New Roman" w:cs="Times New Roman"/>
              <w:color w:val="auto"/>
              <w:sz w:val="24"/>
              <w:szCs w:val="24"/>
            </w:rPr>
          </w:pPr>
          <w:r w:rsidRPr="002B710B">
            <w:rPr>
              <w:rFonts w:ascii="Times New Roman" w:hAnsi="Times New Roman" w:cs="Times New Roman"/>
              <w:color w:val="auto"/>
              <w:sz w:val="24"/>
              <w:szCs w:val="24"/>
            </w:rPr>
            <w:t xml:space="preserve">*Correspondence may be directed to </w:t>
          </w:r>
          <w:r w:rsidR="00AB4891" w:rsidRPr="002B710B">
            <w:rPr>
              <w:rFonts w:ascii="Times New Roman" w:hAnsi="Times New Roman" w:cs="Times New Roman"/>
              <w:color w:val="auto"/>
              <w:sz w:val="24"/>
              <w:szCs w:val="24"/>
            </w:rPr>
            <w:t>the first author</w:t>
          </w:r>
          <w:r w:rsidRPr="002B710B">
            <w:rPr>
              <w:rFonts w:ascii="Times New Roman" w:hAnsi="Times New Roman" w:cs="Times New Roman"/>
              <w:color w:val="auto"/>
              <w:sz w:val="24"/>
              <w:szCs w:val="24"/>
            </w:rPr>
            <w:t xml:space="preserve"> at Texas Tech University, Box 47071 Lubbock, TX 79409; email: </w:t>
          </w:r>
          <w:r w:rsidR="00552C5A" w:rsidRPr="00552C5A">
            <w:rPr>
              <w:rFonts w:ascii="Times New Roman" w:hAnsi="Times New Roman" w:cs="Times New Roman"/>
              <w:color w:val="auto"/>
              <w:sz w:val="24"/>
              <w:szCs w:val="24"/>
            </w:rPr>
            <w:t>jon.mcnaughtan@ttu.edu</w:t>
          </w:r>
          <w:r w:rsidRPr="00113507">
            <w:rPr>
              <w:rFonts w:ascii="Times New Roman" w:hAnsi="Times New Roman" w:cs="Times New Roman"/>
              <w:color w:val="auto"/>
              <w:sz w:val="24"/>
              <w:szCs w:val="24"/>
            </w:rPr>
            <w:t xml:space="preserve">. </w:t>
          </w:r>
          <w:r w:rsidR="00A66DCA" w:rsidRPr="009C0EDA">
            <w:rPr>
              <w:rFonts w:ascii="Times New Roman" w:hAnsi="Times New Roman" w:cs="Times New Roman"/>
              <w:color w:val="auto"/>
              <w:sz w:val="24"/>
              <w:szCs w:val="24"/>
            </w:rPr>
            <w:t xml:space="preserve"> </w:t>
          </w:r>
          <w:r w:rsidR="00552C5A" w:rsidRPr="00552C5A">
            <w:rPr>
              <w:rFonts w:ascii="Times New Roman" w:hAnsi="Times New Roman" w:cs="Times New Roman"/>
              <w:sz w:val="24"/>
              <w:szCs w:val="24"/>
            </w:rPr>
            <w:t>The authors thank Patrick Perry and the Chancellor’s Office of the California Community Colleges for authorizing and providing the data used in this study.</w:t>
          </w:r>
          <w:r w:rsidRPr="002B710B">
            <w:rPr>
              <w:rFonts w:ascii="Times New Roman" w:hAnsi="Times New Roman" w:cs="Times New Roman"/>
              <w:color w:val="auto"/>
              <w:sz w:val="24"/>
              <w:szCs w:val="24"/>
            </w:rPr>
            <w:t xml:space="preserve">   The authors also gratefully acknowledge feedback on this work provided by Leigh Arsenault, Brian Johnson, </w:t>
          </w:r>
          <w:r w:rsidR="00E83995">
            <w:rPr>
              <w:rFonts w:ascii="Times New Roman" w:hAnsi="Times New Roman" w:cs="Times New Roman"/>
              <w:color w:val="auto"/>
              <w:sz w:val="24"/>
              <w:szCs w:val="24"/>
            </w:rPr>
            <w:t xml:space="preserve">Meghan Oster, and </w:t>
          </w:r>
          <w:r w:rsidRPr="002B710B">
            <w:rPr>
              <w:rFonts w:ascii="Times New Roman" w:hAnsi="Times New Roman" w:cs="Times New Roman"/>
              <w:color w:val="auto"/>
              <w:sz w:val="24"/>
              <w:szCs w:val="24"/>
            </w:rPr>
            <w:t>Kimberly Truong</w:t>
          </w:r>
          <w:r w:rsidRPr="00113507">
            <w:rPr>
              <w:rFonts w:ascii="Times New Roman" w:hAnsi="Times New Roman" w:cs="Times New Roman"/>
              <w:color w:val="auto"/>
              <w:sz w:val="24"/>
              <w:szCs w:val="24"/>
            </w:rPr>
            <w:t>.</w:t>
          </w:r>
        </w:p>
      </w:sdtContent>
    </w:sdt>
    <w:p w14:paraId="36101328" w14:textId="77777777" w:rsidR="00AB4891" w:rsidRPr="00113507" w:rsidRDefault="00AB4891">
      <w:pPr>
        <w:rPr>
          <w:rFonts w:ascii="Times New Roman" w:eastAsia="Arial Unicode MS" w:hAnsi="Times New Roman" w:cs="Times New Roman"/>
          <w:b/>
          <w:bCs/>
          <w:color w:val="auto"/>
          <w:sz w:val="24"/>
          <w:szCs w:val="24"/>
        </w:rPr>
      </w:pPr>
      <w:r w:rsidRPr="00113507">
        <w:rPr>
          <w:rFonts w:ascii="Times New Roman" w:eastAsia="Arial Unicode MS" w:hAnsi="Times New Roman" w:cs="Times New Roman"/>
          <w:b/>
          <w:bCs/>
          <w:color w:val="auto"/>
          <w:sz w:val="24"/>
          <w:szCs w:val="24"/>
        </w:rPr>
        <w:br w:type="page"/>
      </w:r>
    </w:p>
    <w:p w14:paraId="21BBB27C" w14:textId="77777777" w:rsidR="00CD00AE" w:rsidRPr="00113507" w:rsidRDefault="00CD00AE" w:rsidP="00113507">
      <w:pPr>
        <w:widowControl w:val="0"/>
        <w:pBdr>
          <w:top w:val="single" w:sz="4" w:space="1" w:color="auto"/>
          <w:bottom w:val="single" w:sz="4" w:space="1" w:color="auto"/>
        </w:pBdr>
        <w:spacing w:after="0" w:line="240" w:lineRule="auto"/>
        <w:contextualSpacing/>
        <w:jc w:val="center"/>
        <w:rPr>
          <w:rFonts w:ascii="Times New Roman" w:eastAsia="Arial Unicode MS" w:hAnsi="Times New Roman" w:cs="Times New Roman"/>
          <w:b/>
          <w:bCs/>
          <w:color w:val="auto"/>
          <w:sz w:val="24"/>
          <w:szCs w:val="24"/>
        </w:rPr>
      </w:pPr>
      <w:r w:rsidRPr="00113507">
        <w:rPr>
          <w:rFonts w:ascii="Times New Roman" w:eastAsia="Arial Unicode MS" w:hAnsi="Times New Roman" w:cs="Times New Roman"/>
          <w:b/>
          <w:bCs/>
          <w:color w:val="auto"/>
          <w:sz w:val="24"/>
          <w:szCs w:val="24"/>
        </w:rPr>
        <w:lastRenderedPageBreak/>
        <w:t>Does it Take Two to Tango in STEM</w:t>
      </w:r>
      <w:proofErr w:type="gramStart"/>
      <w:r w:rsidRPr="00113507">
        <w:rPr>
          <w:rFonts w:ascii="Times New Roman" w:eastAsia="Arial Unicode MS" w:hAnsi="Times New Roman" w:cs="Times New Roman"/>
          <w:b/>
          <w:bCs/>
          <w:color w:val="auto"/>
          <w:sz w:val="24"/>
          <w:szCs w:val="24"/>
        </w:rPr>
        <w:t>?:</w:t>
      </w:r>
      <w:proofErr w:type="gramEnd"/>
    </w:p>
    <w:p w14:paraId="38BB076E" w14:textId="77777777" w:rsidR="007E6AD5" w:rsidRPr="002B710B" w:rsidRDefault="00CD00AE" w:rsidP="002B710B">
      <w:pPr>
        <w:widowControl w:val="0"/>
        <w:pBdr>
          <w:top w:val="single" w:sz="4" w:space="1" w:color="auto"/>
          <w:bottom w:val="single" w:sz="4" w:space="1" w:color="auto"/>
        </w:pBdr>
        <w:spacing w:after="0" w:line="240" w:lineRule="auto"/>
        <w:contextualSpacing/>
        <w:jc w:val="center"/>
        <w:rPr>
          <w:rFonts w:ascii="Times New Roman" w:eastAsia="Arial Unicode MS" w:hAnsi="Times New Roman" w:cs="Times New Roman"/>
          <w:b/>
          <w:bCs/>
          <w:color w:val="auto"/>
          <w:sz w:val="24"/>
          <w:szCs w:val="24"/>
        </w:rPr>
      </w:pPr>
      <w:r w:rsidRPr="002B710B">
        <w:rPr>
          <w:rFonts w:ascii="Times New Roman" w:eastAsia="Arial Unicode MS" w:hAnsi="Times New Roman" w:cs="Times New Roman"/>
          <w:b/>
          <w:bCs/>
          <w:color w:val="auto"/>
          <w:sz w:val="24"/>
          <w:szCs w:val="24"/>
        </w:rPr>
        <w:t>Interdisciplinary course-taking in community colleges</w:t>
      </w:r>
    </w:p>
    <w:p w14:paraId="7A18CC44" w14:textId="77777777" w:rsidR="007E6AD5" w:rsidRPr="002B710B" w:rsidRDefault="007E6AD5" w:rsidP="002B710B">
      <w:pPr>
        <w:widowControl w:val="0"/>
        <w:spacing w:after="0" w:line="240" w:lineRule="auto"/>
        <w:contextualSpacing/>
        <w:jc w:val="center"/>
        <w:rPr>
          <w:rFonts w:ascii="Times New Roman" w:eastAsia="Arial Unicode MS" w:hAnsi="Times New Roman" w:cs="Times New Roman"/>
          <w:b/>
          <w:bCs/>
          <w:color w:val="auto"/>
          <w:sz w:val="24"/>
          <w:szCs w:val="24"/>
        </w:rPr>
      </w:pPr>
    </w:p>
    <w:p w14:paraId="24614D95" w14:textId="77777777" w:rsidR="007E6AD5" w:rsidRPr="002B710B" w:rsidRDefault="00B04500" w:rsidP="002B710B">
      <w:pPr>
        <w:widowControl w:val="0"/>
        <w:spacing w:after="0" w:line="480" w:lineRule="auto"/>
        <w:contextualSpacing/>
        <w:jc w:val="center"/>
        <w:rPr>
          <w:rFonts w:ascii="Times New Roman" w:eastAsia="Arial Unicode MS" w:hAnsi="Times New Roman" w:cs="Times New Roman"/>
          <w:bCs/>
          <w:color w:val="auto"/>
          <w:sz w:val="24"/>
          <w:szCs w:val="24"/>
        </w:rPr>
      </w:pPr>
      <w:r w:rsidRPr="002B710B">
        <w:rPr>
          <w:rFonts w:ascii="Times New Roman" w:eastAsia="Arial Unicode MS" w:hAnsi="Times New Roman" w:cs="Times New Roman"/>
          <w:b/>
          <w:bCs/>
          <w:color w:val="auto"/>
          <w:sz w:val="24"/>
          <w:szCs w:val="24"/>
        </w:rPr>
        <w:t>Abstract</w:t>
      </w:r>
    </w:p>
    <w:p w14:paraId="43EA10CA" w14:textId="77777777" w:rsidR="00A92B01" w:rsidRDefault="00A92B01" w:rsidP="00A92B01">
      <w:pPr>
        <w:spacing w:after="0"/>
        <w:rPr>
          <w:rFonts w:ascii="Times New Roman" w:hAnsi="Times New Roman" w:cs="Times New Roman"/>
          <w:bCs/>
          <w:color w:val="auto"/>
          <w:sz w:val="24"/>
          <w:szCs w:val="24"/>
          <w:shd w:val="clear" w:color="auto" w:fill="FFFFFF"/>
        </w:rPr>
      </w:pPr>
      <w:r>
        <w:rPr>
          <w:rFonts w:ascii="Times New Roman" w:hAnsi="Times New Roman" w:cs="Times New Roman"/>
          <w:bCs/>
          <w:color w:val="auto"/>
          <w:sz w:val="24"/>
          <w:szCs w:val="24"/>
          <w:shd w:val="clear" w:color="auto" w:fill="FFFFFF"/>
        </w:rPr>
        <w:t>Scholars and policy makers alike have argued that the Uni</w:t>
      </w:r>
      <w:r>
        <w:rPr>
          <w:rFonts w:ascii="Times New Roman" w:hAnsi="Times New Roman"/>
          <w:bCs/>
          <w:sz w:val="24"/>
          <w:szCs w:val="24"/>
          <w:shd w:val="clear" w:color="auto" w:fill="FFFFFF"/>
        </w:rPr>
        <w:t>ted States is faces a shortage</w:t>
      </w:r>
      <w:r>
        <w:rPr>
          <w:rFonts w:ascii="Times New Roman" w:hAnsi="Times New Roman" w:cs="Times New Roman"/>
          <w:bCs/>
          <w:color w:val="auto"/>
          <w:sz w:val="24"/>
          <w:szCs w:val="24"/>
          <w:shd w:val="clear" w:color="auto" w:fill="FFFFFF"/>
        </w:rPr>
        <w:t xml:space="preserve"> of STEM professionals in the coming years, especially among individuals from historically disadvantaged backgrounds (e.g., black, Hispanic, and </w:t>
      </w:r>
      <w:r w:rsidR="007E581F">
        <w:rPr>
          <w:rFonts w:ascii="Times New Roman" w:hAnsi="Times New Roman" w:cs="Times New Roman"/>
          <w:bCs/>
          <w:color w:val="auto"/>
          <w:sz w:val="24"/>
          <w:szCs w:val="24"/>
          <w:shd w:val="clear" w:color="auto" w:fill="FFFFFF"/>
        </w:rPr>
        <w:t>Native</w:t>
      </w:r>
      <w:r>
        <w:rPr>
          <w:rFonts w:ascii="Times New Roman" w:hAnsi="Times New Roman" w:cs="Times New Roman"/>
          <w:bCs/>
          <w:color w:val="auto"/>
          <w:sz w:val="24"/>
          <w:szCs w:val="24"/>
          <w:shd w:val="clear" w:color="auto" w:fill="FFFFFF"/>
        </w:rPr>
        <w:t xml:space="preserve"> American heritage).   As the country increases in diversity</w:t>
      </w:r>
      <w:r>
        <w:rPr>
          <w:rFonts w:ascii="Times New Roman" w:hAnsi="Times New Roman"/>
          <w:bCs/>
          <w:sz w:val="24"/>
          <w:szCs w:val="24"/>
          <w:shd w:val="clear" w:color="auto" w:fill="FFFFFF"/>
        </w:rPr>
        <w:t>,</w:t>
      </w:r>
      <w:r>
        <w:rPr>
          <w:rFonts w:ascii="Times New Roman" w:hAnsi="Times New Roman" w:cs="Times New Roman"/>
          <w:bCs/>
          <w:color w:val="auto"/>
          <w:sz w:val="24"/>
          <w:szCs w:val="24"/>
          <w:shd w:val="clear" w:color="auto" w:fill="FFFFFF"/>
        </w:rPr>
        <w:t xml:space="preserve"> and the STEM sector is left with a shortage of workers, many predict negative consequences on the economic competitiveness of the country in a continually globalized marketplace.  Some researchers have focused on the role that community colleges can play in enhancing the STEM pipeline</w:t>
      </w:r>
      <w:r>
        <w:rPr>
          <w:rFonts w:ascii="Times New Roman" w:hAnsi="Times New Roman"/>
          <w:bCs/>
          <w:sz w:val="24"/>
          <w:szCs w:val="24"/>
          <w:shd w:val="clear" w:color="auto" w:fill="FFFFFF"/>
        </w:rPr>
        <w:t xml:space="preserve">, due to their position in the higher education landscape as access points for historically disadvantaged groups.  Research has </w:t>
      </w:r>
      <w:r>
        <w:rPr>
          <w:rFonts w:ascii="Times New Roman" w:hAnsi="Times New Roman" w:cs="Times New Roman"/>
          <w:bCs/>
          <w:color w:val="auto"/>
          <w:sz w:val="24"/>
          <w:szCs w:val="24"/>
          <w:shd w:val="clear" w:color="auto" w:fill="FFFFFF"/>
        </w:rPr>
        <w:t>demonstrated both the stark rates of attrition for all students, but especially for historically disadvantaged students, as well as the potential of these institutions to increase participation in STEM fields.   This study continues this line of research by presenting the case for an interdisciplinary approach to bo</w:t>
      </w:r>
      <w:r>
        <w:rPr>
          <w:rFonts w:ascii="Times New Roman" w:hAnsi="Times New Roman"/>
          <w:bCs/>
          <w:sz w:val="24"/>
          <w:szCs w:val="24"/>
          <w:shd w:val="clear" w:color="auto" w:fill="FFFFFF"/>
        </w:rPr>
        <w:t>th studying STEM student course-</w:t>
      </w:r>
      <w:r>
        <w:rPr>
          <w:rFonts w:ascii="Times New Roman" w:hAnsi="Times New Roman" w:cs="Times New Roman"/>
          <w:bCs/>
          <w:color w:val="auto"/>
          <w:sz w:val="24"/>
          <w:szCs w:val="24"/>
          <w:shd w:val="clear" w:color="auto" w:fill="FFFFFF"/>
        </w:rPr>
        <w:t>taking</w:t>
      </w:r>
      <w:r>
        <w:rPr>
          <w:rFonts w:ascii="Times New Roman" w:hAnsi="Times New Roman"/>
          <w:bCs/>
          <w:sz w:val="24"/>
          <w:szCs w:val="24"/>
          <w:shd w:val="clear" w:color="auto" w:fill="FFFFFF"/>
        </w:rPr>
        <w:t>.  We first present evidence of the inherently interdisciplinary curriculum and identify critical combinations of courses that serve as gatekeepers to STEM degrees.  We then present</w:t>
      </w:r>
      <w:r>
        <w:rPr>
          <w:rFonts w:ascii="Times New Roman" w:hAnsi="Times New Roman" w:cs="Times New Roman"/>
          <w:bCs/>
          <w:color w:val="auto"/>
          <w:sz w:val="24"/>
          <w:szCs w:val="24"/>
          <w:shd w:val="clear" w:color="auto" w:fill="FFFFFF"/>
        </w:rPr>
        <w:t xml:space="preserve"> </w:t>
      </w:r>
      <w:r>
        <w:rPr>
          <w:rFonts w:ascii="Times New Roman" w:hAnsi="Times New Roman"/>
          <w:bCs/>
          <w:sz w:val="24"/>
          <w:szCs w:val="24"/>
          <w:shd w:val="clear" w:color="auto" w:fill="FFFFFF"/>
        </w:rPr>
        <w:t xml:space="preserve">foundational </w:t>
      </w:r>
      <w:r>
        <w:rPr>
          <w:rFonts w:ascii="Times New Roman" w:hAnsi="Times New Roman" w:cs="Times New Roman"/>
          <w:bCs/>
          <w:color w:val="auto"/>
          <w:sz w:val="24"/>
          <w:szCs w:val="24"/>
          <w:shd w:val="clear" w:color="auto" w:fill="FFFFFF"/>
        </w:rPr>
        <w:t xml:space="preserve">information on </w:t>
      </w:r>
      <w:r>
        <w:rPr>
          <w:rFonts w:ascii="Times New Roman" w:hAnsi="Times New Roman"/>
          <w:bCs/>
          <w:sz w:val="24"/>
          <w:szCs w:val="24"/>
          <w:shd w:val="clear" w:color="auto" w:fill="FFFFFF"/>
        </w:rPr>
        <w:t>how students from the California community college system engage, or fail to engage, with the interdisciplinary</w:t>
      </w:r>
      <w:r>
        <w:rPr>
          <w:rFonts w:ascii="Times New Roman" w:hAnsi="Times New Roman" w:cs="Times New Roman"/>
          <w:bCs/>
          <w:color w:val="auto"/>
          <w:sz w:val="24"/>
          <w:szCs w:val="24"/>
          <w:shd w:val="clear" w:color="auto" w:fill="FFFFFF"/>
        </w:rPr>
        <w:t xml:space="preserve"> STEM </w:t>
      </w:r>
      <w:r>
        <w:rPr>
          <w:rFonts w:ascii="Times New Roman" w:hAnsi="Times New Roman"/>
          <w:bCs/>
          <w:sz w:val="24"/>
          <w:szCs w:val="24"/>
          <w:shd w:val="clear" w:color="auto" w:fill="FFFFFF"/>
        </w:rPr>
        <w:t>curriculum over a 14 year period</w:t>
      </w:r>
      <w:r>
        <w:rPr>
          <w:rFonts w:ascii="Times New Roman" w:hAnsi="Times New Roman" w:cs="Times New Roman"/>
          <w:bCs/>
          <w:color w:val="auto"/>
          <w:sz w:val="24"/>
          <w:szCs w:val="24"/>
          <w:shd w:val="clear" w:color="auto" w:fill="FFFFFF"/>
        </w:rPr>
        <w:t xml:space="preserve">.  </w:t>
      </w:r>
      <w:r>
        <w:rPr>
          <w:rFonts w:ascii="Times New Roman" w:hAnsi="Times New Roman"/>
          <w:bCs/>
          <w:sz w:val="24"/>
          <w:szCs w:val="24"/>
          <w:shd w:val="clear" w:color="auto" w:fill="FFFFFF"/>
        </w:rPr>
        <w:t>We also</w:t>
      </w:r>
      <w:r>
        <w:rPr>
          <w:rFonts w:ascii="Times New Roman" w:hAnsi="Times New Roman" w:cs="Times New Roman"/>
          <w:bCs/>
          <w:color w:val="auto"/>
          <w:sz w:val="24"/>
          <w:szCs w:val="24"/>
          <w:shd w:val="clear" w:color="auto" w:fill="FFFFFF"/>
        </w:rPr>
        <w:t xml:space="preserve"> provide a descriptive analysis of how </w:t>
      </w:r>
      <w:r w:rsidR="008B42D7">
        <w:rPr>
          <w:rFonts w:ascii="Times New Roman" w:hAnsi="Times New Roman" w:cs="Times New Roman"/>
          <w:bCs/>
          <w:color w:val="auto"/>
          <w:sz w:val="24"/>
          <w:szCs w:val="24"/>
          <w:shd w:val="clear" w:color="auto" w:fill="FFFFFF"/>
        </w:rPr>
        <w:t>students’</w:t>
      </w:r>
      <w:r>
        <w:rPr>
          <w:rFonts w:ascii="Times New Roman" w:hAnsi="Times New Roman" w:cs="Times New Roman"/>
          <w:bCs/>
          <w:color w:val="auto"/>
          <w:sz w:val="24"/>
          <w:szCs w:val="24"/>
          <w:shd w:val="clear" w:color="auto" w:fill="FFFFFF"/>
        </w:rPr>
        <w:t xml:space="preserve"> course taking behaviors are associated with important outcomes such as course success, transfer, and credential completion. </w:t>
      </w:r>
      <w:r>
        <w:rPr>
          <w:rFonts w:ascii="Times New Roman" w:hAnsi="Times New Roman"/>
          <w:bCs/>
          <w:sz w:val="24"/>
          <w:szCs w:val="24"/>
          <w:shd w:val="clear" w:color="auto" w:fill="FFFFFF"/>
        </w:rPr>
        <w:t xml:space="preserve">We conclude by offering implications for practitioners and a set of directions for future research. </w:t>
      </w:r>
      <w:r>
        <w:rPr>
          <w:rFonts w:ascii="Times New Roman" w:hAnsi="Times New Roman" w:cs="Times New Roman"/>
          <w:bCs/>
          <w:color w:val="auto"/>
          <w:sz w:val="24"/>
          <w:szCs w:val="24"/>
          <w:shd w:val="clear" w:color="auto" w:fill="FFFFFF"/>
        </w:rPr>
        <w:t xml:space="preserve"> </w:t>
      </w:r>
    </w:p>
    <w:p w14:paraId="0592F00D" w14:textId="77777777" w:rsidR="00A92B01" w:rsidRDefault="00A92B01" w:rsidP="00A92B01">
      <w:pPr>
        <w:spacing w:after="0"/>
        <w:rPr>
          <w:rFonts w:ascii="Times New Roman" w:hAnsi="Times New Roman" w:cs="Times New Roman"/>
          <w:bCs/>
          <w:color w:val="auto"/>
          <w:sz w:val="24"/>
          <w:szCs w:val="24"/>
          <w:shd w:val="clear" w:color="auto" w:fill="FFFFFF"/>
        </w:rPr>
      </w:pPr>
    </w:p>
    <w:p w14:paraId="710FCDF4" w14:textId="77777777" w:rsidR="007E6AD5" w:rsidRPr="002B710B" w:rsidRDefault="007E6AD5">
      <w:pPr>
        <w:spacing w:after="0" w:line="480" w:lineRule="auto"/>
        <w:rPr>
          <w:rFonts w:ascii="Times New Roman" w:hAnsi="Times New Roman" w:cs="Times New Roman"/>
          <w:color w:val="auto"/>
          <w:sz w:val="24"/>
          <w:szCs w:val="24"/>
          <w:shd w:val="clear" w:color="auto" w:fill="FFFFFF"/>
        </w:rPr>
        <w:sectPr w:rsidR="007E6AD5" w:rsidRPr="002B710B" w:rsidSect="001332D4">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titlePg/>
          <w:docGrid w:linePitch="360"/>
        </w:sectPr>
      </w:pPr>
      <w:r w:rsidRPr="002B710B">
        <w:rPr>
          <w:rFonts w:ascii="Times New Roman" w:hAnsi="Times New Roman" w:cs="Times New Roman"/>
          <w:bCs/>
          <w:color w:val="auto"/>
          <w:sz w:val="24"/>
          <w:szCs w:val="24"/>
          <w:shd w:val="clear" w:color="auto" w:fill="FFFFFF"/>
        </w:rPr>
        <w:t xml:space="preserve">KEYWORDS:  </w:t>
      </w:r>
      <w:r w:rsidR="00CD00AE" w:rsidRPr="002B710B">
        <w:rPr>
          <w:rFonts w:ascii="Times New Roman" w:hAnsi="Times New Roman" w:cs="Times New Roman"/>
          <w:bCs/>
          <w:color w:val="auto"/>
          <w:sz w:val="24"/>
          <w:szCs w:val="24"/>
          <w:shd w:val="clear" w:color="auto" w:fill="FFFFFF"/>
        </w:rPr>
        <w:t xml:space="preserve">Student, Pathway, STEM, Biology, Engineering, Computer Science, Interdisciplinary, Minority, Transcript  </w:t>
      </w:r>
    </w:p>
    <w:p w14:paraId="065D026E" w14:textId="77777777" w:rsidR="00A66DCA" w:rsidRPr="00106E5E" w:rsidRDefault="00A66DCA" w:rsidP="00A66DCA">
      <w:pPr>
        <w:widowControl w:val="0"/>
        <w:pBdr>
          <w:top w:val="single" w:sz="4" w:space="1" w:color="auto"/>
          <w:bottom w:val="single" w:sz="4" w:space="1" w:color="auto"/>
        </w:pBdr>
        <w:spacing w:after="0" w:line="240" w:lineRule="auto"/>
        <w:contextualSpacing/>
        <w:jc w:val="center"/>
        <w:rPr>
          <w:rFonts w:ascii="Times New Roman" w:eastAsia="Arial Unicode MS" w:hAnsi="Times New Roman" w:cs="Times New Roman"/>
          <w:b/>
          <w:bCs/>
          <w:color w:val="auto"/>
          <w:sz w:val="24"/>
          <w:szCs w:val="24"/>
        </w:rPr>
      </w:pPr>
      <w:r w:rsidRPr="00106E5E">
        <w:rPr>
          <w:rFonts w:ascii="Times New Roman" w:eastAsia="Arial Unicode MS" w:hAnsi="Times New Roman" w:cs="Times New Roman"/>
          <w:b/>
          <w:bCs/>
          <w:color w:val="auto"/>
          <w:sz w:val="24"/>
          <w:szCs w:val="24"/>
        </w:rPr>
        <w:lastRenderedPageBreak/>
        <w:t>Does it Take Two to Tango in STEM</w:t>
      </w:r>
      <w:proofErr w:type="gramStart"/>
      <w:r w:rsidRPr="00106E5E">
        <w:rPr>
          <w:rFonts w:ascii="Times New Roman" w:eastAsia="Arial Unicode MS" w:hAnsi="Times New Roman" w:cs="Times New Roman"/>
          <w:b/>
          <w:bCs/>
          <w:color w:val="auto"/>
          <w:sz w:val="24"/>
          <w:szCs w:val="24"/>
        </w:rPr>
        <w:t>?:</w:t>
      </w:r>
      <w:proofErr w:type="gramEnd"/>
    </w:p>
    <w:p w14:paraId="3932E1F2" w14:textId="77777777" w:rsidR="00A66DCA" w:rsidRPr="00106E5E" w:rsidRDefault="00A66DCA" w:rsidP="00A66DCA">
      <w:pPr>
        <w:widowControl w:val="0"/>
        <w:pBdr>
          <w:top w:val="single" w:sz="4" w:space="1" w:color="auto"/>
          <w:bottom w:val="single" w:sz="4" w:space="1" w:color="auto"/>
        </w:pBdr>
        <w:spacing w:after="0" w:line="240" w:lineRule="auto"/>
        <w:contextualSpacing/>
        <w:jc w:val="center"/>
        <w:rPr>
          <w:rFonts w:ascii="Times New Roman" w:eastAsia="Arial Unicode MS" w:hAnsi="Times New Roman" w:cs="Times New Roman"/>
          <w:b/>
          <w:bCs/>
          <w:color w:val="auto"/>
          <w:sz w:val="24"/>
          <w:szCs w:val="24"/>
        </w:rPr>
      </w:pPr>
      <w:r w:rsidRPr="00106E5E">
        <w:rPr>
          <w:rFonts w:ascii="Times New Roman" w:eastAsia="Arial Unicode MS" w:hAnsi="Times New Roman" w:cs="Times New Roman"/>
          <w:b/>
          <w:bCs/>
          <w:color w:val="auto"/>
          <w:sz w:val="24"/>
          <w:szCs w:val="24"/>
        </w:rPr>
        <w:t>Interdisciplinary course-taking in community colleges</w:t>
      </w:r>
    </w:p>
    <w:p w14:paraId="7012CC4A" w14:textId="77777777" w:rsidR="00E23D73" w:rsidRPr="002B710B" w:rsidRDefault="00E23D73" w:rsidP="002B710B">
      <w:pPr>
        <w:widowControl w:val="0"/>
        <w:spacing w:after="0" w:line="240" w:lineRule="auto"/>
        <w:jc w:val="center"/>
        <w:rPr>
          <w:rFonts w:ascii="Times New Roman" w:hAnsi="Times New Roman" w:cs="Times New Roman"/>
          <w:b/>
          <w:color w:val="auto"/>
          <w:sz w:val="24"/>
          <w:szCs w:val="24"/>
          <w:shd w:val="clear" w:color="auto" w:fill="FFFFFF"/>
        </w:rPr>
      </w:pPr>
    </w:p>
    <w:p w14:paraId="1C3428BF" w14:textId="77777777" w:rsidR="007E6AD5" w:rsidRPr="002B710B" w:rsidRDefault="00B04500" w:rsidP="002B710B">
      <w:pPr>
        <w:widowControl w:val="0"/>
        <w:spacing w:after="0" w:line="480" w:lineRule="auto"/>
        <w:jc w:val="center"/>
        <w:rPr>
          <w:rFonts w:ascii="Times New Roman" w:hAnsi="Times New Roman" w:cs="Times New Roman"/>
          <w:b/>
          <w:color w:val="auto"/>
          <w:sz w:val="24"/>
          <w:szCs w:val="24"/>
          <w:shd w:val="clear" w:color="auto" w:fill="FFFFFF"/>
        </w:rPr>
      </w:pPr>
      <w:r w:rsidRPr="002B710B">
        <w:rPr>
          <w:rFonts w:ascii="Times New Roman" w:hAnsi="Times New Roman" w:cs="Times New Roman"/>
          <w:b/>
          <w:color w:val="auto"/>
          <w:sz w:val="24"/>
          <w:szCs w:val="24"/>
          <w:shd w:val="clear" w:color="auto" w:fill="FFFFFF"/>
        </w:rPr>
        <w:t>Introduction</w:t>
      </w:r>
    </w:p>
    <w:p w14:paraId="180BF697" w14:textId="77777777" w:rsidR="001319D7" w:rsidRPr="002B710B" w:rsidRDefault="004376B7" w:rsidP="002B710B">
      <w:pPr>
        <w:spacing w:after="0" w:line="480" w:lineRule="auto"/>
        <w:ind w:firstLine="720"/>
        <w:rPr>
          <w:rFonts w:ascii="Times New Roman" w:eastAsia="Arial Unicode MS" w:hAnsi="Times New Roman" w:cs="Times New Roman"/>
          <w:color w:val="auto"/>
          <w:sz w:val="24"/>
          <w:szCs w:val="24"/>
        </w:rPr>
      </w:pPr>
      <w:r w:rsidRPr="002B710B">
        <w:rPr>
          <w:rFonts w:ascii="Times New Roman" w:eastAsia="Arial Unicode MS" w:hAnsi="Times New Roman" w:cs="Times New Roman"/>
          <w:color w:val="auto"/>
          <w:sz w:val="24"/>
          <w:szCs w:val="24"/>
        </w:rPr>
        <w:t xml:space="preserve">Policy makers and scholars alike have argued that increasing the number of </w:t>
      </w:r>
      <w:r w:rsidR="00F6290F" w:rsidRPr="002B710B">
        <w:rPr>
          <w:rFonts w:ascii="Times New Roman" w:eastAsia="Arial Unicode MS" w:hAnsi="Times New Roman" w:cs="Times New Roman"/>
          <w:color w:val="auto"/>
          <w:sz w:val="24"/>
          <w:szCs w:val="24"/>
        </w:rPr>
        <w:t xml:space="preserve">highly skilled </w:t>
      </w:r>
      <w:r w:rsidRPr="002B710B">
        <w:rPr>
          <w:rFonts w:ascii="Times New Roman" w:eastAsia="Arial Unicode MS" w:hAnsi="Times New Roman" w:cs="Times New Roman"/>
          <w:color w:val="auto"/>
          <w:sz w:val="24"/>
          <w:szCs w:val="24"/>
        </w:rPr>
        <w:t>STEM professionals is critical to the economic stability and growth of the United States (</w:t>
      </w:r>
      <w:proofErr w:type="spellStart"/>
      <w:r w:rsidRPr="002B710B">
        <w:rPr>
          <w:rFonts w:ascii="Times New Roman" w:eastAsia="Arial Unicode MS" w:hAnsi="Times New Roman" w:cs="Times New Roman"/>
          <w:color w:val="auto"/>
          <w:sz w:val="24"/>
          <w:szCs w:val="24"/>
        </w:rPr>
        <w:t>Carnevale</w:t>
      </w:r>
      <w:proofErr w:type="spellEnd"/>
      <w:r w:rsidRPr="002B710B">
        <w:rPr>
          <w:rFonts w:ascii="Times New Roman" w:eastAsia="Arial Unicode MS" w:hAnsi="Times New Roman" w:cs="Times New Roman"/>
          <w:color w:val="auto"/>
          <w:sz w:val="24"/>
          <w:szCs w:val="24"/>
        </w:rPr>
        <w:t xml:space="preserve">, Smith &amp; Melton, 2011; Palmer &amp; Wood, 2013; U.S. Department of Commerce, 2012). </w:t>
      </w:r>
      <w:r w:rsidR="008149B2" w:rsidRPr="002B710B">
        <w:rPr>
          <w:rFonts w:ascii="Times New Roman" w:eastAsia="Arial Unicode MS" w:hAnsi="Times New Roman" w:cs="Times New Roman"/>
          <w:color w:val="auto"/>
          <w:sz w:val="24"/>
          <w:szCs w:val="24"/>
        </w:rPr>
        <w:t>T</w:t>
      </w:r>
      <w:r w:rsidR="00F6290F" w:rsidRPr="002B710B">
        <w:rPr>
          <w:rFonts w:ascii="Times New Roman" w:eastAsia="Arial Unicode MS" w:hAnsi="Times New Roman" w:cs="Times New Roman"/>
          <w:color w:val="auto"/>
          <w:sz w:val="24"/>
          <w:szCs w:val="24"/>
        </w:rPr>
        <w:t xml:space="preserve">he role of postsecondary institutions </w:t>
      </w:r>
      <w:r w:rsidR="008149B2" w:rsidRPr="002B710B">
        <w:rPr>
          <w:rFonts w:ascii="Times New Roman" w:eastAsia="Arial Unicode MS" w:hAnsi="Times New Roman" w:cs="Times New Roman"/>
          <w:color w:val="auto"/>
          <w:sz w:val="24"/>
          <w:szCs w:val="24"/>
        </w:rPr>
        <w:t xml:space="preserve">is </w:t>
      </w:r>
      <w:r w:rsidR="00F6290F" w:rsidRPr="002B710B">
        <w:rPr>
          <w:rFonts w:ascii="Times New Roman" w:eastAsia="Arial Unicode MS" w:hAnsi="Times New Roman" w:cs="Times New Roman"/>
          <w:color w:val="auto"/>
          <w:sz w:val="24"/>
          <w:szCs w:val="24"/>
        </w:rPr>
        <w:t>a significant part of the discussion (</w:t>
      </w:r>
      <w:proofErr w:type="spellStart"/>
      <w:r w:rsidR="00F6290F" w:rsidRPr="002B710B">
        <w:rPr>
          <w:rFonts w:ascii="Times New Roman" w:eastAsia="Arial Unicode MS" w:hAnsi="Times New Roman" w:cs="Times New Roman"/>
          <w:color w:val="auto"/>
          <w:sz w:val="24"/>
          <w:szCs w:val="24"/>
        </w:rPr>
        <w:t>Carnevale</w:t>
      </w:r>
      <w:proofErr w:type="spellEnd"/>
      <w:r w:rsidR="00F6290F" w:rsidRPr="002B710B">
        <w:rPr>
          <w:rFonts w:ascii="Times New Roman" w:eastAsia="Arial Unicode MS" w:hAnsi="Times New Roman" w:cs="Times New Roman"/>
          <w:color w:val="auto"/>
          <w:sz w:val="24"/>
          <w:szCs w:val="24"/>
        </w:rPr>
        <w:t>, Smith &amp; Melton, 2011; U.S. Department of Commerce, 2012)</w:t>
      </w:r>
      <w:r w:rsidR="008149B2" w:rsidRPr="002B710B">
        <w:rPr>
          <w:rFonts w:ascii="Times New Roman" w:eastAsia="Arial Unicode MS" w:hAnsi="Times New Roman" w:cs="Times New Roman"/>
          <w:color w:val="auto"/>
          <w:sz w:val="24"/>
          <w:szCs w:val="24"/>
        </w:rPr>
        <w:t>, which is not surprising in light of the high educational requirements of many STEM jobs</w:t>
      </w:r>
      <w:r w:rsidR="00F6290F" w:rsidRPr="002B710B">
        <w:rPr>
          <w:rFonts w:ascii="Times New Roman" w:eastAsia="Arial Unicode MS" w:hAnsi="Times New Roman" w:cs="Times New Roman"/>
          <w:color w:val="auto"/>
          <w:sz w:val="24"/>
          <w:szCs w:val="24"/>
        </w:rPr>
        <w:t xml:space="preserve">.  </w:t>
      </w:r>
      <w:r w:rsidR="008149B2" w:rsidRPr="002B710B">
        <w:rPr>
          <w:rFonts w:ascii="Times New Roman" w:eastAsia="Arial Unicode MS" w:hAnsi="Times New Roman" w:cs="Times New Roman"/>
          <w:color w:val="auto"/>
          <w:sz w:val="24"/>
          <w:szCs w:val="24"/>
        </w:rPr>
        <w:t>In recent years</w:t>
      </w:r>
      <w:r w:rsidRPr="002B710B">
        <w:rPr>
          <w:rFonts w:ascii="Times New Roman" w:eastAsia="Arial Unicode MS" w:hAnsi="Times New Roman" w:cs="Times New Roman"/>
          <w:color w:val="auto"/>
          <w:sz w:val="24"/>
          <w:szCs w:val="24"/>
        </w:rPr>
        <w:t>, scholars have begun to focus</w:t>
      </w:r>
      <w:r w:rsidR="008149B2" w:rsidRPr="002B710B">
        <w:rPr>
          <w:rFonts w:ascii="Times New Roman" w:eastAsia="Arial Unicode MS" w:hAnsi="Times New Roman" w:cs="Times New Roman"/>
          <w:color w:val="auto"/>
          <w:sz w:val="24"/>
          <w:szCs w:val="24"/>
        </w:rPr>
        <w:t xml:space="preserve"> more attention</w:t>
      </w:r>
      <w:r w:rsidRPr="002B710B">
        <w:rPr>
          <w:rFonts w:ascii="Times New Roman" w:eastAsia="Arial Unicode MS" w:hAnsi="Times New Roman" w:cs="Times New Roman"/>
          <w:color w:val="auto"/>
          <w:sz w:val="24"/>
          <w:szCs w:val="24"/>
        </w:rPr>
        <w:t xml:space="preserve"> on the role of community colleges </w:t>
      </w:r>
      <w:r w:rsidR="008149B2" w:rsidRPr="002B710B">
        <w:rPr>
          <w:rFonts w:ascii="Times New Roman" w:eastAsia="Arial Unicode MS" w:hAnsi="Times New Roman" w:cs="Times New Roman"/>
          <w:color w:val="auto"/>
          <w:sz w:val="24"/>
          <w:szCs w:val="24"/>
        </w:rPr>
        <w:t>as an educational stepping stone to</w:t>
      </w:r>
      <w:r w:rsidRPr="002B710B">
        <w:rPr>
          <w:rFonts w:ascii="Times New Roman" w:eastAsia="Arial Unicode MS" w:hAnsi="Times New Roman" w:cs="Times New Roman"/>
          <w:color w:val="auto"/>
          <w:sz w:val="24"/>
          <w:szCs w:val="24"/>
        </w:rPr>
        <w:t xml:space="preserve"> STEM baccalaureate degree</w:t>
      </w:r>
      <w:r w:rsidR="008149B2" w:rsidRPr="002B710B">
        <w:rPr>
          <w:rFonts w:ascii="Times New Roman" w:eastAsia="Arial Unicode MS" w:hAnsi="Times New Roman" w:cs="Times New Roman"/>
          <w:color w:val="auto"/>
          <w:sz w:val="24"/>
          <w:szCs w:val="24"/>
        </w:rPr>
        <w:t>s both to help ameliorate inadequate production and to increase the equity of opportunity in STEM fields of employment</w:t>
      </w:r>
      <w:r w:rsidR="00D14137" w:rsidRPr="002B710B">
        <w:rPr>
          <w:rFonts w:ascii="Times New Roman" w:eastAsia="Arial Unicode MS" w:hAnsi="Times New Roman" w:cs="Times New Roman"/>
          <w:color w:val="auto"/>
          <w:sz w:val="24"/>
          <w:szCs w:val="24"/>
        </w:rPr>
        <w:t xml:space="preserve"> (B</w:t>
      </w:r>
      <w:r w:rsidR="00E83995">
        <w:rPr>
          <w:rFonts w:ascii="Times New Roman" w:eastAsia="Arial Unicode MS" w:hAnsi="Times New Roman" w:cs="Times New Roman"/>
          <w:color w:val="auto"/>
          <w:sz w:val="24"/>
          <w:szCs w:val="24"/>
        </w:rPr>
        <w:t xml:space="preserve">ahr, Jackson, </w:t>
      </w:r>
      <w:proofErr w:type="spellStart"/>
      <w:r w:rsidR="00E83995">
        <w:rPr>
          <w:rFonts w:ascii="Times New Roman" w:eastAsia="Arial Unicode MS" w:hAnsi="Times New Roman" w:cs="Times New Roman"/>
          <w:color w:val="auto"/>
          <w:sz w:val="24"/>
          <w:szCs w:val="24"/>
        </w:rPr>
        <w:t>McNaughtan</w:t>
      </w:r>
      <w:proofErr w:type="spellEnd"/>
      <w:r w:rsidR="00E83995">
        <w:rPr>
          <w:rFonts w:ascii="Times New Roman" w:eastAsia="Arial Unicode MS" w:hAnsi="Times New Roman" w:cs="Times New Roman"/>
          <w:color w:val="auto"/>
          <w:sz w:val="24"/>
          <w:szCs w:val="24"/>
        </w:rPr>
        <w:t>, Oster, &amp; Gross</w:t>
      </w:r>
      <w:r w:rsidR="00D14137" w:rsidRPr="002B710B">
        <w:rPr>
          <w:rFonts w:ascii="Times New Roman" w:eastAsia="Arial Unicode MS" w:hAnsi="Times New Roman" w:cs="Times New Roman"/>
          <w:color w:val="auto"/>
          <w:sz w:val="24"/>
          <w:szCs w:val="24"/>
        </w:rPr>
        <w:t>, 2016</w:t>
      </w:r>
      <w:r w:rsidR="00D14137" w:rsidRPr="00113507">
        <w:rPr>
          <w:rFonts w:ascii="Times New Roman" w:eastAsia="Arial Unicode MS" w:hAnsi="Times New Roman" w:cs="Times New Roman"/>
          <w:color w:val="auto"/>
          <w:sz w:val="24"/>
          <w:szCs w:val="24"/>
        </w:rPr>
        <w:t>)</w:t>
      </w:r>
      <w:r w:rsidR="008149B2" w:rsidRPr="00113507">
        <w:rPr>
          <w:rFonts w:ascii="Times New Roman" w:eastAsia="Arial Unicode MS" w:hAnsi="Times New Roman" w:cs="Times New Roman"/>
          <w:color w:val="auto"/>
          <w:sz w:val="24"/>
          <w:szCs w:val="24"/>
        </w:rPr>
        <w:t xml:space="preserve">.  </w:t>
      </w:r>
      <w:r w:rsidR="008149B2" w:rsidRPr="009C0EDA">
        <w:rPr>
          <w:rFonts w:ascii="Times New Roman" w:eastAsia="Arial Unicode MS" w:hAnsi="Times New Roman" w:cs="Times New Roman"/>
          <w:color w:val="auto"/>
          <w:sz w:val="24"/>
          <w:szCs w:val="24"/>
        </w:rPr>
        <w:t xml:space="preserve"> </w:t>
      </w:r>
    </w:p>
    <w:p w14:paraId="1DFFB21C" w14:textId="7E95BB10" w:rsidR="00D14137" w:rsidRPr="002B710B" w:rsidRDefault="00D14137" w:rsidP="002B710B">
      <w:pPr>
        <w:spacing w:after="0" w:line="480" w:lineRule="auto"/>
        <w:ind w:firstLine="720"/>
        <w:rPr>
          <w:rFonts w:ascii="Times New Roman" w:eastAsia="Arial Unicode MS" w:hAnsi="Times New Roman" w:cs="Times New Roman"/>
          <w:color w:val="auto"/>
          <w:sz w:val="24"/>
          <w:szCs w:val="24"/>
        </w:rPr>
      </w:pPr>
      <w:r w:rsidRPr="002B710B">
        <w:rPr>
          <w:rFonts w:ascii="Times New Roman" w:eastAsia="Arial Unicode MS" w:hAnsi="Times New Roman" w:cs="Times New Roman"/>
          <w:color w:val="auto"/>
          <w:sz w:val="24"/>
          <w:szCs w:val="24"/>
        </w:rPr>
        <w:t xml:space="preserve">In that regard, several scholars have undertaken significant lines of inquiry into student pathways through the STEM transfer curriculum in community colleges (Bahr et al., 2016; Wang, 2015).  This </w:t>
      </w:r>
      <w:r w:rsidR="00903DD7" w:rsidRPr="002B710B">
        <w:rPr>
          <w:rFonts w:ascii="Times New Roman" w:eastAsia="Arial Unicode MS" w:hAnsi="Times New Roman" w:cs="Times New Roman"/>
          <w:color w:val="auto"/>
          <w:sz w:val="24"/>
          <w:szCs w:val="24"/>
        </w:rPr>
        <w:t xml:space="preserve">work has </w:t>
      </w:r>
      <w:r w:rsidRPr="002B710B">
        <w:rPr>
          <w:rFonts w:ascii="Times New Roman" w:eastAsia="Arial Unicode MS" w:hAnsi="Times New Roman" w:cs="Times New Roman"/>
          <w:color w:val="auto"/>
          <w:sz w:val="24"/>
          <w:szCs w:val="24"/>
        </w:rPr>
        <w:t>provided</w:t>
      </w:r>
      <w:r w:rsidR="00903DD7" w:rsidRPr="002B710B">
        <w:rPr>
          <w:rFonts w:ascii="Times New Roman" w:eastAsia="Arial Unicode MS" w:hAnsi="Times New Roman" w:cs="Times New Roman"/>
          <w:color w:val="auto"/>
          <w:sz w:val="24"/>
          <w:szCs w:val="24"/>
        </w:rPr>
        <w:t xml:space="preserve"> </w:t>
      </w:r>
      <w:r w:rsidRPr="002B710B">
        <w:rPr>
          <w:rFonts w:ascii="Times New Roman" w:eastAsia="Arial Unicode MS" w:hAnsi="Times New Roman" w:cs="Times New Roman"/>
          <w:color w:val="auto"/>
          <w:sz w:val="24"/>
          <w:szCs w:val="24"/>
        </w:rPr>
        <w:t xml:space="preserve">irrefutable </w:t>
      </w:r>
      <w:r w:rsidR="00903DD7" w:rsidRPr="002B710B">
        <w:rPr>
          <w:rFonts w:ascii="Times New Roman" w:eastAsia="Arial Unicode MS" w:hAnsi="Times New Roman" w:cs="Times New Roman"/>
          <w:color w:val="auto"/>
          <w:sz w:val="24"/>
          <w:szCs w:val="24"/>
        </w:rPr>
        <w:t xml:space="preserve">evidence of the </w:t>
      </w:r>
      <w:r w:rsidRPr="002B710B">
        <w:rPr>
          <w:rFonts w:ascii="Times New Roman" w:eastAsia="Arial Unicode MS" w:hAnsi="Times New Roman" w:cs="Times New Roman"/>
          <w:color w:val="auto"/>
          <w:sz w:val="24"/>
          <w:szCs w:val="24"/>
        </w:rPr>
        <w:t xml:space="preserve">potential </w:t>
      </w:r>
      <w:r w:rsidR="00903DD7" w:rsidRPr="002B710B">
        <w:rPr>
          <w:rFonts w:ascii="Times New Roman" w:eastAsia="Arial Unicode MS" w:hAnsi="Times New Roman" w:cs="Times New Roman"/>
          <w:color w:val="auto"/>
          <w:sz w:val="24"/>
          <w:szCs w:val="24"/>
        </w:rPr>
        <w:t>role of community colleges to increase the number of STEM professionals</w:t>
      </w:r>
      <w:r w:rsidRPr="002B710B">
        <w:rPr>
          <w:rFonts w:ascii="Times New Roman" w:eastAsia="Arial Unicode MS" w:hAnsi="Times New Roman" w:cs="Times New Roman"/>
          <w:color w:val="auto"/>
          <w:sz w:val="24"/>
          <w:szCs w:val="24"/>
        </w:rPr>
        <w:t>.</w:t>
      </w:r>
      <w:r w:rsidR="00903DD7" w:rsidRPr="002B710B">
        <w:rPr>
          <w:rFonts w:ascii="Times New Roman" w:eastAsia="Arial Unicode MS" w:hAnsi="Times New Roman" w:cs="Times New Roman"/>
          <w:color w:val="auto"/>
          <w:sz w:val="24"/>
          <w:szCs w:val="24"/>
        </w:rPr>
        <w:t xml:space="preserve"> </w:t>
      </w:r>
      <w:r w:rsidRPr="002B710B">
        <w:rPr>
          <w:rFonts w:ascii="Times New Roman" w:eastAsia="Arial Unicode MS" w:hAnsi="Times New Roman" w:cs="Times New Roman"/>
          <w:color w:val="auto"/>
          <w:sz w:val="24"/>
          <w:szCs w:val="24"/>
        </w:rPr>
        <w:t xml:space="preserve"> For example, </w:t>
      </w:r>
      <w:r w:rsidR="001319D7" w:rsidRPr="002B710B">
        <w:rPr>
          <w:rFonts w:ascii="Times New Roman" w:eastAsia="Arial Unicode MS" w:hAnsi="Times New Roman" w:cs="Times New Roman"/>
          <w:color w:val="auto"/>
          <w:sz w:val="24"/>
          <w:szCs w:val="24"/>
        </w:rPr>
        <w:t xml:space="preserve">Bahr and </w:t>
      </w:r>
      <w:r w:rsidRPr="002B710B">
        <w:rPr>
          <w:rFonts w:ascii="Times New Roman" w:eastAsia="Arial Unicode MS" w:hAnsi="Times New Roman" w:cs="Times New Roman"/>
          <w:color w:val="auto"/>
          <w:sz w:val="24"/>
          <w:szCs w:val="24"/>
        </w:rPr>
        <w:t xml:space="preserve">his </w:t>
      </w:r>
      <w:r w:rsidR="001319D7" w:rsidRPr="002B710B">
        <w:rPr>
          <w:rFonts w:ascii="Times New Roman" w:eastAsia="Arial Unicode MS" w:hAnsi="Times New Roman" w:cs="Times New Roman"/>
          <w:color w:val="auto"/>
          <w:sz w:val="24"/>
          <w:szCs w:val="24"/>
        </w:rPr>
        <w:t xml:space="preserve">colleagues (2016) found that a little over one-third of </w:t>
      </w:r>
      <w:r w:rsidRPr="002B710B">
        <w:rPr>
          <w:rFonts w:ascii="Times New Roman" w:eastAsia="Arial Unicode MS" w:hAnsi="Times New Roman" w:cs="Times New Roman"/>
          <w:color w:val="auto"/>
          <w:sz w:val="24"/>
          <w:szCs w:val="24"/>
        </w:rPr>
        <w:t xml:space="preserve">first-time </w:t>
      </w:r>
      <w:r w:rsidR="001319D7" w:rsidRPr="002B710B">
        <w:rPr>
          <w:rFonts w:ascii="Times New Roman" w:eastAsia="Arial Unicode MS" w:hAnsi="Times New Roman" w:cs="Times New Roman"/>
          <w:color w:val="auto"/>
          <w:sz w:val="24"/>
          <w:szCs w:val="24"/>
        </w:rPr>
        <w:t xml:space="preserve">students </w:t>
      </w:r>
      <w:r w:rsidRPr="002B710B">
        <w:rPr>
          <w:rFonts w:ascii="Times New Roman" w:eastAsia="Arial Unicode MS" w:hAnsi="Times New Roman" w:cs="Times New Roman"/>
          <w:color w:val="auto"/>
          <w:sz w:val="24"/>
          <w:szCs w:val="24"/>
        </w:rPr>
        <w:t xml:space="preserve">in community colleges </w:t>
      </w:r>
      <w:r w:rsidR="001319D7" w:rsidRPr="002B710B">
        <w:rPr>
          <w:rFonts w:ascii="Times New Roman" w:eastAsia="Arial Unicode MS" w:hAnsi="Times New Roman" w:cs="Times New Roman"/>
          <w:color w:val="auto"/>
          <w:sz w:val="24"/>
          <w:szCs w:val="24"/>
        </w:rPr>
        <w:t xml:space="preserve">take at least one </w:t>
      </w:r>
      <w:r w:rsidRPr="002B710B">
        <w:rPr>
          <w:rFonts w:ascii="Times New Roman" w:eastAsia="Arial Unicode MS" w:hAnsi="Times New Roman" w:cs="Times New Roman"/>
          <w:color w:val="auto"/>
          <w:sz w:val="24"/>
          <w:szCs w:val="24"/>
        </w:rPr>
        <w:t xml:space="preserve">college-level, </w:t>
      </w:r>
      <w:proofErr w:type="gramStart"/>
      <w:r w:rsidRPr="002B710B">
        <w:rPr>
          <w:rFonts w:ascii="Times New Roman" w:eastAsia="Arial Unicode MS" w:hAnsi="Times New Roman" w:cs="Times New Roman"/>
          <w:color w:val="auto"/>
          <w:sz w:val="24"/>
          <w:szCs w:val="24"/>
        </w:rPr>
        <w:t xml:space="preserve">transferrable </w:t>
      </w:r>
      <w:r w:rsidR="001319D7" w:rsidRPr="002B710B">
        <w:rPr>
          <w:rFonts w:ascii="Times New Roman" w:eastAsia="Arial Unicode MS" w:hAnsi="Times New Roman" w:cs="Times New Roman"/>
          <w:color w:val="auto"/>
          <w:sz w:val="24"/>
          <w:szCs w:val="24"/>
        </w:rPr>
        <w:t xml:space="preserve"> STEM</w:t>
      </w:r>
      <w:proofErr w:type="gramEnd"/>
      <w:r w:rsidR="001319D7" w:rsidRPr="002B710B">
        <w:rPr>
          <w:rFonts w:ascii="Times New Roman" w:eastAsia="Arial Unicode MS" w:hAnsi="Times New Roman" w:cs="Times New Roman"/>
          <w:color w:val="auto"/>
          <w:sz w:val="24"/>
          <w:szCs w:val="24"/>
        </w:rPr>
        <w:t xml:space="preserve"> course</w:t>
      </w:r>
      <w:r w:rsidRPr="002B710B">
        <w:rPr>
          <w:rFonts w:ascii="Times New Roman" w:eastAsia="Arial Unicode MS" w:hAnsi="Times New Roman" w:cs="Times New Roman"/>
          <w:color w:val="auto"/>
          <w:sz w:val="24"/>
          <w:szCs w:val="24"/>
        </w:rPr>
        <w:t xml:space="preserve">.  Among students who take such a course, the average number of </w:t>
      </w:r>
      <w:r w:rsidR="004B3528">
        <w:rPr>
          <w:rFonts w:ascii="Times New Roman" w:eastAsia="Arial Unicode MS" w:hAnsi="Times New Roman" w:cs="Times New Roman"/>
          <w:color w:val="auto"/>
          <w:sz w:val="24"/>
          <w:szCs w:val="24"/>
        </w:rPr>
        <w:t>college-</w:t>
      </w:r>
      <w:r w:rsidR="008B42D7">
        <w:rPr>
          <w:rFonts w:ascii="Times New Roman" w:eastAsia="Arial Unicode MS" w:hAnsi="Times New Roman" w:cs="Times New Roman"/>
          <w:color w:val="auto"/>
          <w:sz w:val="24"/>
          <w:szCs w:val="24"/>
        </w:rPr>
        <w:t xml:space="preserve">level STEM </w:t>
      </w:r>
      <w:r w:rsidRPr="002B710B">
        <w:rPr>
          <w:rFonts w:ascii="Times New Roman" w:eastAsia="Arial Unicode MS" w:hAnsi="Times New Roman" w:cs="Times New Roman"/>
          <w:color w:val="auto"/>
          <w:sz w:val="24"/>
          <w:szCs w:val="24"/>
        </w:rPr>
        <w:t>course</w:t>
      </w:r>
      <w:r w:rsidR="008B42D7">
        <w:rPr>
          <w:rFonts w:ascii="Times New Roman" w:eastAsia="Arial Unicode MS" w:hAnsi="Times New Roman" w:cs="Times New Roman"/>
          <w:color w:val="auto"/>
          <w:sz w:val="24"/>
          <w:szCs w:val="24"/>
        </w:rPr>
        <w:t>s</w:t>
      </w:r>
      <w:r w:rsidRPr="002B710B">
        <w:rPr>
          <w:rFonts w:ascii="Times New Roman" w:eastAsia="Arial Unicode MS" w:hAnsi="Times New Roman" w:cs="Times New Roman"/>
          <w:color w:val="auto"/>
          <w:sz w:val="24"/>
          <w:szCs w:val="24"/>
        </w:rPr>
        <w:t xml:space="preserve"> taken is </w:t>
      </w:r>
      <w:r w:rsidR="001319D7" w:rsidRPr="002B710B">
        <w:rPr>
          <w:rFonts w:ascii="Times New Roman" w:eastAsia="Arial Unicode MS" w:hAnsi="Times New Roman" w:cs="Times New Roman"/>
          <w:color w:val="auto"/>
          <w:sz w:val="24"/>
          <w:szCs w:val="24"/>
        </w:rPr>
        <w:t xml:space="preserve">3.5.  </w:t>
      </w:r>
      <w:r w:rsidR="008B42D7">
        <w:rPr>
          <w:rFonts w:ascii="Times New Roman" w:eastAsia="Arial Unicode MS" w:hAnsi="Times New Roman" w:cs="Times New Roman"/>
          <w:color w:val="auto"/>
          <w:sz w:val="24"/>
          <w:szCs w:val="24"/>
        </w:rPr>
        <w:t>This demonstrates that a large number of students utilize community colleges to begin their collegiate STEM education, and that, on average, these students engage in multiple STEM courses at the community college.</w:t>
      </w:r>
    </w:p>
    <w:p w14:paraId="756098F0" w14:textId="77777777" w:rsidR="001319D7" w:rsidRPr="002B710B" w:rsidRDefault="001319D7" w:rsidP="002B710B">
      <w:pPr>
        <w:spacing w:after="0" w:line="480" w:lineRule="auto"/>
        <w:ind w:firstLine="720"/>
        <w:rPr>
          <w:rFonts w:ascii="Times New Roman" w:eastAsia="Times New Roman" w:hAnsi="Times New Roman" w:cs="Times New Roman"/>
          <w:color w:val="auto"/>
          <w:sz w:val="24"/>
          <w:szCs w:val="24"/>
        </w:rPr>
      </w:pPr>
      <w:r w:rsidRPr="002B710B">
        <w:rPr>
          <w:rFonts w:ascii="Times New Roman" w:eastAsia="Times New Roman" w:hAnsi="Times New Roman" w:cs="Times New Roman"/>
          <w:color w:val="auto"/>
          <w:sz w:val="24"/>
          <w:szCs w:val="24"/>
        </w:rPr>
        <w:t xml:space="preserve">Research on </w:t>
      </w:r>
      <w:r w:rsidR="00BE000B" w:rsidRPr="002B710B">
        <w:rPr>
          <w:rFonts w:ascii="Times New Roman" w:eastAsia="Times New Roman" w:hAnsi="Times New Roman" w:cs="Times New Roman"/>
          <w:color w:val="auto"/>
          <w:sz w:val="24"/>
          <w:szCs w:val="24"/>
        </w:rPr>
        <w:t xml:space="preserve">community college </w:t>
      </w:r>
      <w:r w:rsidRPr="002B710B">
        <w:rPr>
          <w:rFonts w:ascii="Times New Roman" w:eastAsia="Times New Roman" w:hAnsi="Times New Roman" w:cs="Times New Roman"/>
          <w:color w:val="auto"/>
          <w:sz w:val="24"/>
          <w:szCs w:val="24"/>
        </w:rPr>
        <w:t xml:space="preserve">student pathways in STEM </w:t>
      </w:r>
      <w:r w:rsidR="008B42D7">
        <w:rPr>
          <w:rFonts w:ascii="Times New Roman" w:eastAsia="Times New Roman" w:hAnsi="Times New Roman" w:cs="Times New Roman"/>
          <w:color w:val="auto"/>
          <w:sz w:val="24"/>
          <w:szCs w:val="24"/>
        </w:rPr>
        <w:t>has also</w:t>
      </w:r>
      <w:r w:rsidR="00BE000B" w:rsidRPr="002B710B">
        <w:rPr>
          <w:rFonts w:ascii="Times New Roman" w:eastAsia="Times New Roman" w:hAnsi="Times New Roman" w:cs="Times New Roman"/>
          <w:color w:val="auto"/>
          <w:sz w:val="24"/>
          <w:szCs w:val="24"/>
        </w:rPr>
        <w:t xml:space="preserve"> </w:t>
      </w:r>
      <w:r w:rsidRPr="002B710B">
        <w:rPr>
          <w:rFonts w:ascii="Times New Roman" w:eastAsia="Times New Roman" w:hAnsi="Times New Roman" w:cs="Times New Roman"/>
          <w:color w:val="auto"/>
          <w:sz w:val="24"/>
          <w:szCs w:val="24"/>
        </w:rPr>
        <w:t>provided much needed insight on the way</w:t>
      </w:r>
      <w:r w:rsidR="00BE000B" w:rsidRPr="002B710B">
        <w:rPr>
          <w:rFonts w:ascii="Times New Roman" w:eastAsia="Times New Roman" w:hAnsi="Times New Roman" w:cs="Times New Roman"/>
          <w:color w:val="auto"/>
          <w:sz w:val="24"/>
          <w:szCs w:val="24"/>
        </w:rPr>
        <w:t>s in which</w:t>
      </w:r>
      <w:r w:rsidRPr="002B710B">
        <w:rPr>
          <w:rFonts w:ascii="Times New Roman" w:eastAsia="Times New Roman" w:hAnsi="Times New Roman" w:cs="Times New Roman"/>
          <w:color w:val="auto"/>
          <w:sz w:val="24"/>
          <w:szCs w:val="24"/>
        </w:rPr>
        <w:t xml:space="preserve"> students </w:t>
      </w:r>
      <w:r w:rsidR="007D794A">
        <w:rPr>
          <w:rFonts w:ascii="Times New Roman" w:eastAsia="Times New Roman" w:hAnsi="Times New Roman" w:cs="Times New Roman"/>
          <w:color w:val="auto"/>
          <w:sz w:val="24"/>
          <w:szCs w:val="24"/>
        </w:rPr>
        <w:t>enroll in</w:t>
      </w:r>
      <w:r w:rsidRPr="002B710B">
        <w:rPr>
          <w:rFonts w:ascii="Times New Roman" w:eastAsia="Times New Roman" w:hAnsi="Times New Roman" w:cs="Times New Roman"/>
          <w:color w:val="auto"/>
          <w:sz w:val="24"/>
          <w:szCs w:val="24"/>
        </w:rPr>
        <w:t xml:space="preserve"> coursework in </w:t>
      </w:r>
      <w:r w:rsidR="00F24B76" w:rsidRPr="002B710B">
        <w:rPr>
          <w:rFonts w:ascii="Times New Roman" w:eastAsia="Times New Roman" w:hAnsi="Times New Roman" w:cs="Times New Roman"/>
          <w:color w:val="auto"/>
          <w:sz w:val="24"/>
          <w:szCs w:val="24"/>
        </w:rPr>
        <w:t xml:space="preserve">each of the STEM </w:t>
      </w:r>
      <w:r w:rsidR="00F24B76" w:rsidRPr="002B710B">
        <w:rPr>
          <w:rFonts w:ascii="Times New Roman" w:eastAsia="Times New Roman" w:hAnsi="Times New Roman" w:cs="Times New Roman"/>
          <w:color w:val="auto"/>
          <w:sz w:val="24"/>
          <w:szCs w:val="24"/>
        </w:rPr>
        <w:lastRenderedPageBreak/>
        <w:t>disciplines</w:t>
      </w:r>
      <w:r w:rsidRPr="002B710B">
        <w:rPr>
          <w:rFonts w:ascii="Times New Roman" w:eastAsia="Times New Roman" w:hAnsi="Times New Roman" w:cs="Times New Roman"/>
          <w:color w:val="auto"/>
          <w:sz w:val="24"/>
          <w:szCs w:val="24"/>
        </w:rPr>
        <w:t xml:space="preserve">.  However, most of these analyses </w:t>
      </w:r>
      <w:r w:rsidR="00BE000B" w:rsidRPr="002B710B">
        <w:rPr>
          <w:rFonts w:ascii="Times New Roman" w:eastAsia="Times New Roman" w:hAnsi="Times New Roman" w:cs="Times New Roman"/>
          <w:color w:val="auto"/>
          <w:sz w:val="24"/>
          <w:szCs w:val="24"/>
        </w:rPr>
        <w:t xml:space="preserve">have addressed </w:t>
      </w:r>
      <w:r w:rsidR="00F24B76" w:rsidRPr="002B710B">
        <w:rPr>
          <w:rFonts w:ascii="Times New Roman" w:eastAsia="Times New Roman" w:hAnsi="Times New Roman" w:cs="Times New Roman"/>
          <w:color w:val="auto"/>
          <w:sz w:val="24"/>
          <w:szCs w:val="24"/>
        </w:rPr>
        <w:t>STEM</w:t>
      </w:r>
      <w:r w:rsidRPr="002B710B">
        <w:rPr>
          <w:rFonts w:ascii="Times New Roman" w:eastAsia="Times New Roman" w:hAnsi="Times New Roman" w:cs="Times New Roman"/>
          <w:color w:val="auto"/>
          <w:sz w:val="24"/>
          <w:szCs w:val="24"/>
        </w:rPr>
        <w:t xml:space="preserve"> subjects individually (e.g., math separately from chemistry, chemistry separately from physics), or have collapsed all STEM subjects into a single monolithic category of coursework</w:t>
      </w:r>
      <w:r w:rsidRPr="00113507">
        <w:rPr>
          <w:rFonts w:ascii="Times New Roman" w:eastAsia="Times New Roman" w:hAnsi="Times New Roman" w:cs="Times New Roman"/>
          <w:color w:val="auto"/>
          <w:sz w:val="24"/>
          <w:szCs w:val="24"/>
        </w:rPr>
        <w:t>.  Neither of these approaches has been especially helpful to understand</w:t>
      </w:r>
      <w:r w:rsidR="002E4C6A" w:rsidRPr="002B710B">
        <w:rPr>
          <w:rFonts w:ascii="Times New Roman" w:eastAsia="Times New Roman" w:hAnsi="Times New Roman" w:cs="Times New Roman"/>
          <w:color w:val="auto"/>
          <w:sz w:val="24"/>
          <w:szCs w:val="24"/>
        </w:rPr>
        <w:t>ing</w:t>
      </w:r>
      <w:r w:rsidRPr="002B710B">
        <w:rPr>
          <w:rFonts w:ascii="Times New Roman" w:eastAsia="Times New Roman" w:hAnsi="Times New Roman" w:cs="Times New Roman"/>
          <w:color w:val="auto"/>
          <w:sz w:val="24"/>
          <w:szCs w:val="24"/>
        </w:rPr>
        <w:t xml:space="preserve"> </w:t>
      </w:r>
      <w:r w:rsidR="00BE000B" w:rsidRPr="002B710B">
        <w:rPr>
          <w:rFonts w:ascii="Times New Roman" w:eastAsia="Times New Roman" w:hAnsi="Times New Roman" w:cs="Times New Roman"/>
          <w:color w:val="auto"/>
          <w:sz w:val="24"/>
          <w:szCs w:val="24"/>
        </w:rPr>
        <w:t xml:space="preserve">core </w:t>
      </w:r>
      <w:r w:rsidRPr="002B710B">
        <w:rPr>
          <w:rFonts w:ascii="Times New Roman" w:eastAsia="Times New Roman" w:hAnsi="Times New Roman" w:cs="Times New Roman"/>
          <w:color w:val="auto"/>
          <w:sz w:val="24"/>
          <w:szCs w:val="24"/>
        </w:rPr>
        <w:t>STEM majors like engineering and biology, which</w:t>
      </w:r>
      <w:r w:rsidR="002E4C6A" w:rsidRPr="002B710B">
        <w:rPr>
          <w:rFonts w:ascii="Times New Roman" w:eastAsia="Times New Roman" w:hAnsi="Times New Roman" w:cs="Times New Roman"/>
          <w:color w:val="auto"/>
          <w:sz w:val="24"/>
          <w:szCs w:val="24"/>
        </w:rPr>
        <w:t>,</w:t>
      </w:r>
      <w:r w:rsidRPr="002B710B">
        <w:rPr>
          <w:rFonts w:ascii="Times New Roman" w:eastAsia="Times New Roman" w:hAnsi="Times New Roman" w:cs="Times New Roman"/>
          <w:color w:val="auto"/>
          <w:sz w:val="24"/>
          <w:szCs w:val="24"/>
        </w:rPr>
        <w:t xml:space="preserve"> at the </w:t>
      </w:r>
      <w:r w:rsidR="00BE000B" w:rsidRPr="002B710B">
        <w:rPr>
          <w:rFonts w:ascii="Times New Roman" w:eastAsia="Times New Roman" w:hAnsi="Times New Roman" w:cs="Times New Roman"/>
          <w:color w:val="auto"/>
          <w:sz w:val="24"/>
          <w:szCs w:val="24"/>
        </w:rPr>
        <w:t>lower-</w:t>
      </w:r>
      <w:r w:rsidRPr="002B710B">
        <w:rPr>
          <w:rFonts w:ascii="Times New Roman" w:eastAsia="Times New Roman" w:hAnsi="Times New Roman" w:cs="Times New Roman"/>
          <w:color w:val="auto"/>
          <w:sz w:val="24"/>
          <w:szCs w:val="24"/>
        </w:rPr>
        <w:t>division level, are largely interdisciplinary</w:t>
      </w:r>
      <w:r w:rsidR="00BE000B" w:rsidRPr="002B710B">
        <w:rPr>
          <w:rFonts w:ascii="Times New Roman" w:eastAsia="Times New Roman" w:hAnsi="Times New Roman" w:cs="Times New Roman"/>
          <w:color w:val="auto"/>
          <w:sz w:val="24"/>
          <w:szCs w:val="24"/>
        </w:rPr>
        <w:t xml:space="preserve"> in nature</w:t>
      </w:r>
      <w:r w:rsidRPr="002B710B">
        <w:rPr>
          <w:rFonts w:ascii="Times New Roman" w:eastAsia="Times New Roman" w:hAnsi="Times New Roman" w:cs="Times New Roman"/>
          <w:color w:val="auto"/>
          <w:sz w:val="24"/>
          <w:szCs w:val="24"/>
        </w:rPr>
        <w:t xml:space="preserve"> (Bahr</w:t>
      </w:r>
      <w:r w:rsidR="008B42D7">
        <w:rPr>
          <w:rFonts w:ascii="Times New Roman" w:eastAsia="Times New Roman" w:hAnsi="Times New Roman" w:cs="Times New Roman"/>
          <w:color w:val="auto"/>
          <w:sz w:val="24"/>
          <w:szCs w:val="24"/>
        </w:rPr>
        <w:t xml:space="preserve"> et al.</w:t>
      </w:r>
      <w:r w:rsidRPr="002B710B">
        <w:rPr>
          <w:rFonts w:ascii="Times New Roman" w:eastAsia="Times New Roman" w:hAnsi="Times New Roman" w:cs="Times New Roman"/>
          <w:color w:val="auto"/>
          <w:sz w:val="24"/>
          <w:szCs w:val="24"/>
        </w:rPr>
        <w:t>, 2016; Wang, 2015).</w:t>
      </w:r>
      <w:r w:rsidR="00F24B76" w:rsidRPr="002B710B">
        <w:rPr>
          <w:rFonts w:ascii="Times New Roman" w:eastAsia="Times New Roman" w:hAnsi="Times New Roman" w:cs="Times New Roman"/>
          <w:color w:val="auto"/>
          <w:sz w:val="24"/>
          <w:szCs w:val="24"/>
        </w:rPr>
        <w:t xml:space="preserve"> </w:t>
      </w:r>
    </w:p>
    <w:p w14:paraId="15D814F1" w14:textId="77777777" w:rsidR="001319D7" w:rsidRPr="002B710B" w:rsidRDefault="001319D7" w:rsidP="002B710B">
      <w:pPr>
        <w:spacing w:after="0" w:line="480" w:lineRule="auto"/>
        <w:ind w:firstLine="720"/>
        <w:rPr>
          <w:rFonts w:ascii="Times New Roman" w:eastAsia="Times New Roman" w:hAnsi="Times New Roman" w:cs="Times New Roman"/>
          <w:color w:val="auto"/>
          <w:sz w:val="24"/>
          <w:szCs w:val="24"/>
        </w:rPr>
      </w:pPr>
      <w:r w:rsidRPr="002B710B">
        <w:rPr>
          <w:rFonts w:ascii="Times New Roman" w:eastAsia="Times New Roman" w:hAnsi="Times New Roman" w:cs="Times New Roman"/>
          <w:color w:val="auto"/>
          <w:sz w:val="24"/>
          <w:szCs w:val="24"/>
        </w:rPr>
        <w:t xml:space="preserve">The interdisciplinary nature of </w:t>
      </w:r>
      <w:r w:rsidR="00727E88" w:rsidRPr="002B710B">
        <w:rPr>
          <w:rFonts w:ascii="Times New Roman" w:eastAsia="Times New Roman" w:hAnsi="Times New Roman" w:cs="Times New Roman"/>
          <w:color w:val="auto"/>
          <w:sz w:val="24"/>
          <w:szCs w:val="24"/>
        </w:rPr>
        <w:t xml:space="preserve">such </w:t>
      </w:r>
      <w:r w:rsidRPr="002B710B">
        <w:rPr>
          <w:rFonts w:ascii="Times New Roman" w:eastAsia="Times New Roman" w:hAnsi="Times New Roman" w:cs="Times New Roman"/>
          <w:color w:val="auto"/>
          <w:sz w:val="24"/>
          <w:szCs w:val="24"/>
        </w:rPr>
        <w:t xml:space="preserve">STEM programs requires a shift in the way we have conceptualized </w:t>
      </w:r>
      <w:r w:rsidR="00BE000B" w:rsidRPr="002B710B">
        <w:rPr>
          <w:rFonts w:ascii="Times New Roman" w:eastAsia="Times New Roman" w:hAnsi="Times New Roman" w:cs="Times New Roman"/>
          <w:color w:val="auto"/>
          <w:sz w:val="24"/>
          <w:szCs w:val="24"/>
        </w:rPr>
        <w:t xml:space="preserve">the </w:t>
      </w:r>
      <w:r w:rsidRPr="002B710B">
        <w:rPr>
          <w:rFonts w:ascii="Times New Roman" w:eastAsia="Times New Roman" w:hAnsi="Times New Roman" w:cs="Times New Roman"/>
          <w:color w:val="auto"/>
          <w:sz w:val="24"/>
          <w:szCs w:val="24"/>
        </w:rPr>
        <w:t xml:space="preserve">analysis </w:t>
      </w:r>
      <w:r w:rsidR="00BE000B" w:rsidRPr="002B710B">
        <w:rPr>
          <w:rFonts w:ascii="Times New Roman" w:eastAsia="Times New Roman" w:hAnsi="Times New Roman" w:cs="Times New Roman"/>
          <w:color w:val="auto"/>
          <w:sz w:val="24"/>
          <w:szCs w:val="24"/>
        </w:rPr>
        <w:t>of community college student pathways</w:t>
      </w:r>
      <w:r w:rsidRPr="002B710B">
        <w:rPr>
          <w:rFonts w:ascii="Times New Roman" w:eastAsia="Times New Roman" w:hAnsi="Times New Roman" w:cs="Times New Roman"/>
          <w:color w:val="auto"/>
          <w:sz w:val="24"/>
          <w:szCs w:val="24"/>
        </w:rPr>
        <w:t>.  This is especially evident in</w:t>
      </w:r>
      <w:r w:rsidR="00597B38" w:rsidRPr="002B710B">
        <w:rPr>
          <w:rFonts w:ascii="Times New Roman" w:eastAsia="Times New Roman" w:hAnsi="Times New Roman" w:cs="Times New Roman"/>
          <w:color w:val="auto"/>
          <w:sz w:val="24"/>
          <w:szCs w:val="24"/>
        </w:rPr>
        <w:t xml:space="preserve"> the field of</w:t>
      </w:r>
      <w:r w:rsidRPr="002B710B">
        <w:rPr>
          <w:rFonts w:ascii="Times New Roman" w:eastAsia="Times New Roman" w:hAnsi="Times New Roman" w:cs="Times New Roman"/>
          <w:color w:val="auto"/>
          <w:sz w:val="24"/>
          <w:szCs w:val="24"/>
        </w:rPr>
        <w:t xml:space="preserve"> engineering </w:t>
      </w:r>
      <w:r w:rsidR="00597B38" w:rsidRPr="002B710B">
        <w:rPr>
          <w:rFonts w:ascii="Times New Roman" w:eastAsia="Times New Roman" w:hAnsi="Times New Roman" w:cs="Times New Roman"/>
          <w:color w:val="auto"/>
          <w:sz w:val="24"/>
          <w:szCs w:val="24"/>
        </w:rPr>
        <w:t>in which</w:t>
      </w:r>
      <w:r w:rsidRPr="002B710B">
        <w:rPr>
          <w:rFonts w:ascii="Times New Roman" w:eastAsia="Times New Roman" w:hAnsi="Times New Roman" w:cs="Times New Roman"/>
          <w:color w:val="auto"/>
          <w:sz w:val="24"/>
          <w:szCs w:val="24"/>
        </w:rPr>
        <w:t xml:space="preserve"> </w:t>
      </w:r>
      <w:r w:rsidR="00597B38" w:rsidRPr="002B710B">
        <w:rPr>
          <w:rFonts w:ascii="Times New Roman" w:eastAsia="Times New Roman" w:hAnsi="Times New Roman" w:cs="Times New Roman"/>
          <w:color w:val="auto"/>
          <w:sz w:val="24"/>
          <w:szCs w:val="24"/>
        </w:rPr>
        <w:t xml:space="preserve">math and physics coursework, not engineering coursework, constitute the foundational, </w:t>
      </w:r>
      <w:r w:rsidR="00BE000B" w:rsidRPr="002B710B">
        <w:rPr>
          <w:rFonts w:ascii="Times New Roman" w:eastAsia="Times New Roman" w:hAnsi="Times New Roman" w:cs="Times New Roman"/>
          <w:color w:val="auto"/>
          <w:sz w:val="24"/>
          <w:szCs w:val="24"/>
        </w:rPr>
        <w:t>lower-</w:t>
      </w:r>
      <w:r w:rsidRPr="002B710B">
        <w:rPr>
          <w:rFonts w:ascii="Times New Roman" w:eastAsia="Times New Roman" w:hAnsi="Times New Roman" w:cs="Times New Roman"/>
          <w:color w:val="auto"/>
          <w:sz w:val="24"/>
          <w:szCs w:val="24"/>
        </w:rPr>
        <w:t>division curriculum.</w:t>
      </w:r>
    </w:p>
    <w:p w14:paraId="1DA82ECE" w14:textId="77777777" w:rsidR="001452E6" w:rsidRDefault="001319D7" w:rsidP="002B710B">
      <w:pPr>
        <w:spacing w:after="0" w:line="480" w:lineRule="auto"/>
        <w:ind w:firstLine="720"/>
        <w:rPr>
          <w:rFonts w:ascii="Times New Roman" w:eastAsia="Arial Unicode MS" w:hAnsi="Times New Roman" w:cs="Times New Roman"/>
          <w:color w:val="auto"/>
          <w:sz w:val="24"/>
          <w:szCs w:val="24"/>
        </w:rPr>
      </w:pPr>
      <w:r w:rsidRPr="002B710B">
        <w:rPr>
          <w:rFonts w:ascii="Times New Roman" w:eastAsia="Arial Unicode MS" w:hAnsi="Times New Roman" w:cs="Times New Roman"/>
          <w:color w:val="auto"/>
          <w:sz w:val="24"/>
          <w:szCs w:val="24"/>
        </w:rPr>
        <w:t xml:space="preserve">In this study, we use data from the California Community College system to analyze the interdisciplinary </w:t>
      </w:r>
      <w:r w:rsidR="0019553D" w:rsidRPr="002B710B">
        <w:rPr>
          <w:rFonts w:ascii="Times New Roman" w:eastAsia="Arial Unicode MS" w:hAnsi="Times New Roman" w:cs="Times New Roman"/>
          <w:color w:val="auto"/>
          <w:sz w:val="24"/>
          <w:szCs w:val="24"/>
        </w:rPr>
        <w:t>course-taking</w:t>
      </w:r>
      <w:r w:rsidRPr="002B710B">
        <w:rPr>
          <w:rFonts w:ascii="Times New Roman" w:eastAsia="Arial Unicode MS" w:hAnsi="Times New Roman" w:cs="Times New Roman"/>
          <w:color w:val="auto"/>
          <w:sz w:val="24"/>
          <w:szCs w:val="24"/>
        </w:rPr>
        <w:t xml:space="preserve"> behaviors</w:t>
      </w:r>
      <w:r w:rsidR="00F24B76" w:rsidRPr="002B710B">
        <w:rPr>
          <w:rFonts w:ascii="Times New Roman" w:eastAsia="Arial Unicode MS" w:hAnsi="Times New Roman" w:cs="Times New Roman"/>
          <w:color w:val="auto"/>
          <w:sz w:val="24"/>
          <w:szCs w:val="24"/>
        </w:rPr>
        <w:t xml:space="preserve"> and outcomes</w:t>
      </w:r>
      <w:r w:rsidRPr="002B710B">
        <w:rPr>
          <w:rFonts w:ascii="Times New Roman" w:eastAsia="Arial Unicode MS" w:hAnsi="Times New Roman" w:cs="Times New Roman"/>
          <w:color w:val="auto"/>
          <w:sz w:val="24"/>
          <w:szCs w:val="24"/>
        </w:rPr>
        <w:t xml:space="preserve"> of students who </w:t>
      </w:r>
      <w:r w:rsidR="007D794A">
        <w:rPr>
          <w:rFonts w:ascii="Times New Roman" w:eastAsia="Arial Unicode MS" w:hAnsi="Times New Roman" w:cs="Times New Roman"/>
          <w:color w:val="auto"/>
          <w:sz w:val="24"/>
          <w:szCs w:val="24"/>
        </w:rPr>
        <w:t>enroll in</w:t>
      </w:r>
      <w:r w:rsidRPr="002B710B">
        <w:rPr>
          <w:rFonts w:ascii="Times New Roman" w:eastAsia="Arial Unicode MS" w:hAnsi="Times New Roman" w:cs="Times New Roman"/>
          <w:color w:val="auto"/>
          <w:sz w:val="24"/>
          <w:szCs w:val="24"/>
        </w:rPr>
        <w:t xml:space="preserve"> </w:t>
      </w:r>
      <w:r w:rsidR="00597B38" w:rsidRPr="002B710B">
        <w:rPr>
          <w:rFonts w:ascii="Times New Roman" w:eastAsia="Arial Unicode MS" w:hAnsi="Times New Roman" w:cs="Times New Roman"/>
          <w:color w:val="auto"/>
          <w:sz w:val="24"/>
          <w:szCs w:val="24"/>
        </w:rPr>
        <w:t>transferrable, college-</w:t>
      </w:r>
      <w:r w:rsidRPr="002B710B">
        <w:rPr>
          <w:rFonts w:ascii="Times New Roman" w:eastAsia="Arial Unicode MS" w:hAnsi="Times New Roman" w:cs="Times New Roman"/>
          <w:color w:val="auto"/>
          <w:sz w:val="24"/>
          <w:szCs w:val="24"/>
        </w:rPr>
        <w:t>level STEM coursework in math, physics, chemistry, biology, and computer science</w:t>
      </w:r>
      <w:r w:rsidR="000B6B07">
        <w:rPr>
          <w:rFonts w:ascii="Times New Roman" w:eastAsia="Arial Unicode MS" w:hAnsi="Times New Roman" w:cs="Times New Roman"/>
          <w:color w:val="auto"/>
          <w:sz w:val="24"/>
          <w:szCs w:val="24"/>
        </w:rPr>
        <w:t xml:space="preserve">. </w:t>
      </w:r>
      <w:r w:rsidR="00597B38" w:rsidRPr="002B710B">
        <w:rPr>
          <w:rFonts w:ascii="Times New Roman" w:eastAsia="Arial Unicode MS" w:hAnsi="Times New Roman" w:cs="Times New Roman"/>
          <w:color w:val="auto"/>
          <w:sz w:val="24"/>
          <w:szCs w:val="24"/>
        </w:rPr>
        <w:t xml:space="preserve">We build on the </w:t>
      </w:r>
      <w:r w:rsidR="00F24B76" w:rsidRPr="002B710B">
        <w:rPr>
          <w:rFonts w:ascii="Times New Roman" w:eastAsia="Arial Unicode MS" w:hAnsi="Times New Roman" w:cs="Times New Roman"/>
          <w:color w:val="auto"/>
          <w:sz w:val="24"/>
          <w:szCs w:val="24"/>
        </w:rPr>
        <w:t>methods employed by other scholars</w:t>
      </w:r>
      <w:r w:rsidR="00597B38" w:rsidRPr="002B710B">
        <w:rPr>
          <w:rFonts w:ascii="Times New Roman" w:eastAsia="Arial Unicode MS" w:hAnsi="Times New Roman" w:cs="Times New Roman"/>
          <w:color w:val="auto"/>
          <w:sz w:val="24"/>
          <w:szCs w:val="24"/>
        </w:rPr>
        <w:t xml:space="preserve"> who</w:t>
      </w:r>
      <w:r w:rsidR="00F24B76" w:rsidRPr="002B710B">
        <w:rPr>
          <w:rFonts w:ascii="Times New Roman" w:eastAsia="Arial Unicode MS" w:hAnsi="Times New Roman" w:cs="Times New Roman"/>
          <w:color w:val="auto"/>
          <w:sz w:val="24"/>
          <w:szCs w:val="24"/>
        </w:rPr>
        <w:t xml:space="preserve"> </w:t>
      </w:r>
      <w:r w:rsidR="00597B38" w:rsidRPr="002B710B">
        <w:rPr>
          <w:rFonts w:ascii="Times New Roman" w:eastAsia="Arial Unicode MS" w:hAnsi="Times New Roman" w:cs="Times New Roman"/>
          <w:color w:val="auto"/>
          <w:sz w:val="24"/>
          <w:szCs w:val="24"/>
        </w:rPr>
        <w:t xml:space="preserve">have analyzed </w:t>
      </w:r>
      <w:r w:rsidR="00F24B76" w:rsidRPr="002B710B">
        <w:rPr>
          <w:rFonts w:ascii="Times New Roman" w:eastAsia="Arial Unicode MS" w:hAnsi="Times New Roman" w:cs="Times New Roman"/>
          <w:color w:val="auto"/>
          <w:sz w:val="24"/>
          <w:szCs w:val="24"/>
        </w:rPr>
        <w:t>student transcript data (e.g., Bahr, 2012, 2013; Bahr et al., 2016; Hagedorn</w:t>
      </w:r>
      <w:r w:rsidR="00B134FB">
        <w:rPr>
          <w:rFonts w:ascii="Times New Roman" w:eastAsia="Arial Unicode MS" w:hAnsi="Times New Roman" w:cs="Times New Roman"/>
          <w:color w:val="auto"/>
          <w:sz w:val="24"/>
          <w:szCs w:val="24"/>
        </w:rPr>
        <w:t xml:space="preserve"> &amp; Lester</w:t>
      </w:r>
      <w:r w:rsidR="00F24B76" w:rsidRPr="002B710B">
        <w:rPr>
          <w:rFonts w:ascii="Times New Roman" w:eastAsia="Arial Unicode MS" w:hAnsi="Times New Roman" w:cs="Times New Roman"/>
          <w:color w:val="auto"/>
          <w:sz w:val="24"/>
          <w:szCs w:val="24"/>
        </w:rPr>
        <w:t xml:space="preserve">, 2006), </w:t>
      </w:r>
      <w:r w:rsidR="008B42D7">
        <w:rPr>
          <w:rFonts w:ascii="Times New Roman" w:eastAsia="Arial Unicode MS" w:hAnsi="Times New Roman" w:cs="Times New Roman"/>
          <w:color w:val="auto"/>
          <w:sz w:val="24"/>
          <w:szCs w:val="24"/>
        </w:rPr>
        <w:t>by presenting our</w:t>
      </w:r>
      <w:r w:rsidR="00F24B76" w:rsidRPr="002B710B">
        <w:rPr>
          <w:rFonts w:ascii="Times New Roman" w:eastAsia="Arial Unicode MS" w:hAnsi="Times New Roman" w:cs="Times New Roman"/>
          <w:color w:val="auto"/>
          <w:sz w:val="24"/>
          <w:szCs w:val="24"/>
        </w:rPr>
        <w:t xml:space="preserve"> </w:t>
      </w:r>
      <w:r w:rsidR="009238CE" w:rsidRPr="002B710B">
        <w:rPr>
          <w:rFonts w:ascii="Times New Roman" w:eastAsia="Arial Unicode MS" w:hAnsi="Times New Roman" w:cs="Times New Roman"/>
          <w:color w:val="auto"/>
          <w:sz w:val="24"/>
          <w:szCs w:val="24"/>
        </w:rPr>
        <w:t xml:space="preserve">approach to </w:t>
      </w:r>
      <w:r w:rsidR="00F24B76" w:rsidRPr="002B710B">
        <w:rPr>
          <w:rFonts w:ascii="Times New Roman" w:eastAsia="Arial Unicode MS" w:hAnsi="Times New Roman" w:cs="Times New Roman"/>
          <w:color w:val="auto"/>
          <w:sz w:val="24"/>
          <w:szCs w:val="24"/>
        </w:rPr>
        <w:t>account</w:t>
      </w:r>
      <w:r w:rsidR="009238CE" w:rsidRPr="002B710B">
        <w:rPr>
          <w:rFonts w:ascii="Times New Roman" w:eastAsia="Arial Unicode MS" w:hAnsi="Times New Roman" w:cs="Times New Roman"/>
          <w:color w:val="auto"/>
          <w:sz w:val="24"/>
          <w:szCs w:val="24"/>
        </w:rPr>
        <w:t>ing</w:t>
      </w:r>
      <w:r w:rsidR="00F24B76" w:rsidRPr="002B710B">
        <w:rPr>
          <w:rFonts w:ascii="Times New Roman" w:eastAsia="Arial Unicode MS" w:hAnsi="Times New Roman" w:cs="Times New Roman"/>
          <w:color w:val="auto"/>
          <w:sz w:val="24"/>
          <w:szCs w:val="24"/>
        </w:rPr>
        <w:t xml:space="preserve"> for the</w:t>
      </w:r>
      <w:r w:rsidRPr="002B710B">
        <w:rPr>
          <w:rFonts w:ascii="Times New Roman" w:eastAsia="Arial Unicode MS" w:hAnsi="Times New Roman" w:cs="Times New Roman"/>
          <w:color w:val="auto"/>
          <w:sz w:val="24"/>
          <w:szCs w:val="24"/>
        </w:rPr>
        <w:t xml:space="preserve"> </w:t>
      </w:r>
      <w:r w:rsidR="00F24B76" w:rsidRPr="002B710B">
        <w:rPr>
          <w:rFonts w:ascii="Times New Roman" w:eastAsia="Arial Unicode MS" w:hAnsi="Times New Roman" w:cs="Times New Roman"/>
          <w:color w:val="auto"/>
          <w:sz w:val="24"/>
          <w:szCs w:val="24"/>
        </w:rPr>
        <w:t xml:space="preserve">interdisciplinary </w:t>
      </w:r>
      <w:r w:rsidR="009238CE" w:rsidRPr="002B710B">
        <w:rPr>
          <w:rFonts w:ascii="Times New Roman" w:eastAsia="Arial Unicode MS" w:hAnsi="Times New Roman" w:cs="Times New Roman"/>
          <w:color w:val="auto"/>
          <w:sz w:val="24"/>
          <w:szCs w:val="24"/>
        </w:rPr>
        <w:t xml:space="preserve">nature of </w:t>
      </w:r>
      <w:r w:rsidR="00F24B76" w:rsidRPr="002B710B">
        <w:rPr>
          <w:rFonts w:ascii="Times New Roman" w:eastAsia="Arial Unicode MS" w:hAnsi="Times New Roman" w:cs="Times New Roman"/>
          <w:color w:val="auto"/>
          <w:sz w:val="24"/>
          <w:szCs w:val="24"/>
        </w:rPr>
        <w:t xml:space="preserve">coursework </w:t>
      </w:r>
      <w:r w:rsidR="009238CE" w:rsidRPr="002B710B">
        <w:rPr>
          <w:rFonts w:ascii="Times New Roman" w:eastAsia="Arial Unicode MS" w:hAnsi="Times New Roman" w:cs="Times New Roman"/>
          <w:color w:val="auto"/>
          <w:sz w:val="24"/>
          <w:szCs w:val="24"/>
        </w:rPr>
        <w:t xml:space="preserve">in </w:t>
      </w:r>
      <w:r w:rsidR="00F24B76" w:rsidRPr="002B710B">
        <w:rPr>
          <w:rFonts w:ascii="Times New Roman" w:eastAsia="Arial Unicode MS" w:hAnsi="Times New Roman" w:cs="Times New Roman"/>
          <w:color w:val="auto"/>
          <w:sz w:val="24"/>
          <w:szCs w:val="24"/>
        </w:rPr>
        <w:t xml:space="preserve">many STEM </w:t>
      </w:r>
      <w:r w:rsidR="009238CE" w:rsidRPr="002B710B">
        <w:rPr>
          <w:rFonts w:ascii="Times New Roman" w:eastAsia="Arial Unicode MS" w:hAnsi="Times New Roman" w:cs="Times New Roman"/>
          <w:color w:val="auto"/>
          <w:sz w:val="24"/>
          <w:szCs w:val="24"/>
        </w:rPr>
        <w:t>programs</w:t>
      </w:r>
      <w:r w:rsidR="00F24B76" w:rsidRPr="002B710B">
        <w:rPr>
          <w:rFonts w:ascii="Times New Roman" w:eastAsia="Arial Unicode MS" w:hAnsi="Times New Roman" w:cs="Times New Roman"/>
          <w:color w:val="auto"/>
          <w:sz w:val="24"/>
          <w:szCs w:val="24"/>
        </w:rPr>
        <w:t xml:space="preserve">. </w:t>
      </w:r>
      <w:r w:rsidR="008B42D7">
        <w:rPr>
          <w:rFonts w:ascii="Times New Roman" w:eastAsia="Arial Unicode MS" w:hAnsi="Times New Roman" w:cs="Times New Roman"/>
          <w:color w:val="auto"/>
          <w:sz w:val="24"/>
          <w:szCs w:val="24"/>
        </w:rPr>
        <w:t xml:space="preserve">Our study seeks to </w:t>
      </w:r>
      <w:r w:rsidR="001452E6">
        <w:rPr>
          <w:rFonts w:ascii="Times New Roman" w:eastAsia="Arial Unicode MS" w:hAnsi="Times New Roman" w:cs="Times New Roman"/>
          <w:color w:val="auto"/>
          <w:sz w:val="24"/>
          <w:szCs w:val="24"/>
        </w:rPr>
        <w:t xml:space="preserve">identify critical course pairs that act as gatekeepers to STEM programs of study and then analyze how student completion outcomes (e.g., credential completion, transfer) differ by race and gender when students have attempted both courses.  Further, we will analyze how the order in which courses are taken is associated with course success and student completion outcomes. </w:t>
      </w:r>
    </w:p>
    <w:p w14:paraId="581852BA" w14:textId="77777777" w:rsidR="00F24B76" w:rsidRPr="00113507" w:rsidRDefault="00B04500" w:rsidP="002B710B">
      <w:pPr>
        <w:spacing w:after="0" w:line="480" w:lineRule="auto"/>
        <w:jc w:val="center"/>
        <w:rPr>
          <w:rFonts w:ascii="Times New Roman" w:eastAsia="Arial Unicode MS" w:hAnsi="Times New Roman" w:cs="Times New Roman"/>
          <w:b/>
          <w:color w:val="auto"/>
          <w:sz w:val="24"/>
          <w:szCs w:val="24"/>
        </w:rPr>
      </w:pPr>
      <w:r w:rsidRPr="009C0EDA">
        <w:rPr>
          <w:rFonts w:ascii="Times New Roman" w:eastAsia="Arial Unicode MS" w:hAnsi="Times New Roman" w:cs="Times New Roman"/>
          <w:b/>
          <w:color w:val="auto"/>
          <w:sz w:val="24"/>
          <w:szCs w:val="24"/>
        </w:rPr>
        <w:t>Background</w:t>
      </w:r>
    </w:p>
    <w:p w14:paraId="382A84C2" w14:textId="77777777" w:rsidR="00F24B76" w:rsidRPr="002B710B" w:rsidRDefault="00F24B76" w:rsidP="002B710B">
      <w:pPr>
        <w:spacing w:after="0" w:line="480" w:lineRule="auto"/>
        <w:rPr>
          <w:rFonts w:ascii="Times New Roman" w:eastAsia="Arial Unicode MS" w:hAnsi="Times New Roman" w:cs="Times New Roman"/>
          <w:color w:val="auto"/>
          <w:sz w:val="24"/>
          <w:szCs w:val="24"/>
        </w:rPr>
      </w:pPr>
      <w:r w:rsidRPr="002B710B">
        <w:rPr>
          <w:rFonts w:ascii="Times New Roman" w:eastAsia="Arial Unicode MS" w:hAnsi="Times New Roman" w:cs="Times New Roman"/>
          <w:b/>
          <w:color w:val="auto"/>
          <w:sz w:val="24"/>
          <w:szCs w:val="24"/>
        </w:rPr>
        <w:t>Shortage</w:t>
      </w:r>
      <w:r w:rsidR="00347A04" w:rsidRPr="002B710B">
        <w:rPr>
          <w:rFonts w:ascii="Times New Roman" w:eastAsia="Arial Unicode MS" w:hAnsi="Times New Roman" w:cs="Times New Roman"/>
          <w:b/>
          <w:color w:val="auto"/>
          <w:sz w:val="24"/>
          <w:szCs w:val="24"/>
        </w:rPr>
        <w:t xml:space="preserve"> of STEM Graduates</w:t>
      </w:r>
    </w:p>
    <w:p w14:paraId="5233E27D" w14:textId="77777777" w:rsidR="00EC403C" w:rsidRPr="002B710B" w:rsidRDefault="00EF6CF6" w:rsidP="002B710B">
      <w:pPr>
        <w:spacing w:after="0" w:line="480" w:lineRule="auto"/>
        <w:rPr>
          <w:rFonts w:ascii="Times New Roman" w:eastAsia="Arial Unicode MS" w:hAnsi="Times New Roman" w:cs="Times New Roman"/>
          <w:color w:val="auto"/>
          <w:sz w:val="24"/>
          <w:szCs w:val="24"/>
        </w:rPr>
      </w:pPr>
      <w:r w:rsidRPr="002B710B">
        <w:rPr>
          <w:rFonts w:ascii="Times New Roman" w:eastAsia="Arial Unicode MS" w:hAnsi="Times New Roman" w:cs="Times New Roman"/>
          <w:color w:val="auto"/>
          <w:sz w:val="24"/>
          <w:szCs w:val="24"/>
        </w:rPr>
        <w:t xml:space="preserve"> </w:t>
      </w:r>
      <w:r w:rsidRPr="002B710B">
        <w:rPr>
          <w:rFonts w:ascii="Times New Roman" w:eastAsia="Arial Unicode MS" w:hAnsi="Times New Roman" w:cs="Times New Roman"/>
          <w:color w:val="auto"/>
          <w:sz w:val="24"/>
          <w:szCs w:val="24"/>
        </w:rPr>
        <w:tab/>
      </w:r>
      <w:r w:rsidR="00CE46BC" w:rsidRPr="002B710B">
        <w:rPr>
          <w:rFonts w:ascii="Times New Roman" w:eastAsia="Arial Unicode MS" w:hAnsi="Times New Roman" w:cs="Times New Roman"/>
          <w:color w:val="auto"/>
          <w:sz w:val="24"/>
          <w:szCs w:val="24"/>
        </w:rPr>
        <w:t xml:space="preserve">Attention to the </w:t>
      </w:r>
      <w:r w:rsidR="001F6624" w:rsidRPr="002B710B">
        <w:rPr>
          <w:rFonts w:ascii="Times New Roman" w:eastAsia="Arial Unicode MS" w:hAnsi="Times New Roman" w:cs="Times New Roman"/>
          <w:color w:val="auto"/>
          <w:sz w:val="24"/>
          <w:szCs w:val="24"/>
        </w:rPr>
        <w:t>role of STEM education in producing a h</w:t>
      </w:r>
      <w:r w:rsidR="009C3A03" w:rsidRPr="002B710B">
        <w:rPr>
          <w:rFonts w:ascii="Times New Roman" w:eastAsia="Arial Unicode MS" w:hAnsi="Times New Roman" w:cs="Times New Roman"/>
          <w:color w:val="auto"/>
          <w:sz w:val="24"/>
          <w:szCs w:val="24"/>
        </w:rPr>
        <w:t>ighly skilled and innovative work</w:t>
      </w:r>
      <w:r w:rsidR="001F6624" w:rsidRPr="002B710B">
        <w:rPr>
          <w:rFonts w:ascii="Times New Roman" w:eastAsia="Arial Unicode MS" w:hAnsi="Times New Roman" w:cs="Times New Roman"/>
          <w:color w:val="auto"/>
          <w:sz w:val="24"/>
          <w:szCs w:val="24"/>
        </w:rPr>
        <w:t xml:space="preserve">force has increased over the last </w:t>
      </w:r>
      <w:r w:rsidR="00CE46BC" w:rsidRPr="002B710B">
        <w:rPr>
          <w:rFonts w:ascii="Times New Roman" w:eastAsia="Arial Unicode MS" w:hAnsi="Times New Roman" w:cs="Times New Roman"/>
          <w:color w:val="auto"/>
          <w:sz w:val="24"/>
          <w:szCs w:val="24"/>
        </w:rPr>
        <w:t xml:space="preserve">several </w:t>
      </w:r>
      <w:r w:rsidR="001F6624" w:rsidRPr="002B710B">
        <w:rPr>
          <w:rFonts w:ascii="Times New Roman" w:eastAsia="Arial Unicode MS" w:hAnsi="Times New Roman" w:cs="Times New Roman"/>
          <w:color w:val="auto"/>
          <w:sz w:val="24"/>
          <w:szCs w:val="24"/>
        </w:rPr>
        <w:t>decades</w:t>
      </w:r>
      <w:r w:rsidR="00CE46BC" w:rsidRPr="002B710B">
        <w:rPr>
          <w:rFonts w:ascii="Times New Roman" w:eastAsia="Arial Unicode MS" w:hAnsi="Times New Roman" w:cs="Times New Roman"/>
          <w:color w:val="auto"/>
          <w:sz w:val="24"/>
          <w:szCs w:val="24"/>
        </w:rPr>
        <w:t xml:space="preserve">, driven by </w:t>
      </w:r>
      <w:r w:rsidR="009C3A03" w:rsidRPr="002B710B">
        <w:rPr>
          <w:rFonts w:ascii="Times New Roman" w:eastAsia="Arial Unicode MS" w:hAnsi="Times New Roman" w:cs="Times New Roman"/>
          <w:color w:val="auto"/>
          <w:sz w:val="24"/>
          <w:szCs w:val="24"/>
        </w:rPr>
        <w:t xml:space="preserve">globalization and technological </w:t>
      </w:r>
      <w:r w:rsidR="009C3A03" w:rsidRPr="002B710B">
        <w:rPr>
          <w:rFonts w:ascii="Times New Roman" w:eastAsia="Arial Unicode MS" w:hAnsi="Times New Roman" w:cs="Times New Roman"/>
          <w:color w:val="auto"/>
          <w:sz w:val="24"/>
          <w:szCs w:val="24"/>
        </w:rPr>
        <w:lastRenderedPageBreak/>
        <w:t xml:space="preserve">advancement </w:t>
      </w:r>
      <w:r w:rsidR="001F6624" w:rsidRPr="002B710B">
        <w:rPr>
          <w:rFonts w:ascii="Times New Roman" w:eastAsia="Arial Unicode MS" w:hAnsi="Times New Roman" w:cs="Times New Roman"/>
          <w:color w:val="auto"/>
          <w:sz w:val="24"/>
          <w:szCs w:val="24"/>
        </w:rPr>
        <w:t>(</w:t>
      </w:r>
      <w:proofErr w:type="spellStart"/>
      <w:r w:rsidR="00EC403C" w:rsidRPr="002B710B">
        <w:rPr>
          <w:rFonts w:ascii="Times New Roman" w:eastAsia="Arial Unicode MS" w:hAnsi="Times New Roman" w:cs="Times New Roman"/>
          <w:color w:val="auto"/>
          <w:sz w:val="24"/>
          <w:szCs w:val="24"/>
        </w:rPr>
        <w:t>Carnevale</w:t>
      </w:r>
      <w:proofErr w:type="spellEnd"/>
      <w:r w:rsidR="00EC403C" w:rsidRPr="002B710B">
        <w:rPr>
          <w:rFonts w:ascii="Times New Roman" w:eastAsia="Arial Unicode MS" w:hAnsi="Times New Roman" w:cs="Times New Roman"/>
          <w:color w:val="auto"/>
          <w:sz w:val="24"/>
          <w:szCs w:val="24"/>
        </w:rPr>
        <w:t xml:space="preserve">, Smith, &amp; Melton, 2011; </w:t>
      </w:r>
      <w:r w:rsidR="001F6624" w:rsidRPr="002B710B">
        <w:rPr>
          <w:rFonts w:ascii="Times New Roman" w:eastAsia="Arial Unicode MS" w:hAnsi="Times New Roman" w:cs="Times New Roman"/>
          <w:color w:val="auto"/>
          <w:sz w:val="24"/>
          <w:szCs w:val="24"/>
        </w:rPr>
        <w:t xml:space="preserve">Lynn &amp; </w:t>
      </w:r>
      <w:proofErr w:type="spellStart"/>
      <w:r w:rsidR="001F6624" w:rsidRPr="002B710B">
        <w:rPr>
          <w:rFonts w:ascii="Times New Roman" w:eastAsia="Arial Unicode MS" w:hAnsi="Times New Roman" w:cs="Times New Roman"/>
          <w:color w:val="auto"/>
          <w:sz w:val="24"/>
          <w:szCs w:val="24"/>
        </w:rPr>
        <w:t>Salzman</w:t>
      </w:r>
      <w:proofErr w:type="spellEnd"/>
      <w:r w:rsidR="001F6624" w:rsidRPr="002B710B">
        <w:rPr>
          <w:rFonts w:ascii="Times New Roman" w:eastAsia="Arial Unicode MS" w:hAnsi="Times New Roman" w:cs="Times New Roman"/>
          <w:color w:val="auto"/>
          <w:sz w:val="24"/>
          <w:szCs w:val="24"/>
        </w:rPr>
        <w:t xml:space="preserve">, </w:t>
      </w:r>
      <w:r w:rsidR="009C3A03" w:rsidRPr="002B710B">
        <w:rPr>
          <w:rFonts w:ascii="Times New Roman" w:eastAsia="Arial Unicode MS" w:hAnsi="Times New Roman" w:cs="Times New Roman"/>
          <w:color w:val="auto"/>
          <w:sz w:val="24"/>
          <w:szCs w:val="24"/>
        </w:rPr>
        <w:t xml:space="preserve">2010; President’s Council, 2012).  </w:t>
      </w:r>
      <w:r w:rsidR="000D0DDE" w:rsidRPr="002B710B">
        <w:rPr>
          <w:rFonts w:ascii="Times New Roman" w:eastAsia="Arial Unicode MS" w:hAnsi="Times New Roman" w:cs="Times New Roman"/>
          <w:color w:val="auto"/>
          <w:sz w:val="24"/>
          <w:szCs w:val="24"/>
        </w:rPr>
        <w:t>H</w:t>
      </w:r>
      <w:r w:rsidR="009C3A03" w:rsidRPr="002B710B">
        <w:rPr>
          <w:rFonts w:ascii="Times New Roman" w:eastAsia="Arial Unicode MS" w:hAnsi="Times New Roman" w:cs="Times New Roman"/>
          <w:color w:val="auto"/>
          <w:sz w:val="24"/>
          <w:szCs w:val="24"/>
        </w:rPr>
        <w:t xml:space="preserve">owever, educational institutions have </w:t>
      </w:r>
      <w:r w:rsidR="000D0DDE" w:rsidRPr="002B710B">
        <w:rPr>
          <w:rFonts w:ascii="Times New Roman" w:eastAsia="Arial Unicode MS" w:hAnsi="Times New Roman" w:cs="Times New Roman"/>
          <w:color w:val="auto"/>
          <w:sz w:val="24"/>
          <w:szCs w:val="24"/>
        </w:rPr>
        <w:t xml:space="preserve">struggled </w:t>
      </w:r>
      <w:r w:rsidR="009C3A03" w:rsidRPr="002B710B">
        <w:rPr>
          <w:rFonts w:ascii="Times New Roman" w:eastAsia="Arial Unicode MS" w:hAnsi="Times New Roman" w:cs="Times New Roman"/>
          <w:color w:val="auto"/>
          <w:sz w:val="24"/>
          <w:szCs w:val="24"/>
        </w:rPr>
        <w:t xml:space="preserve">to produce a </w:t>
      </w:r>
      <w:r w:rsidR="00EC403C" w:rsidRPr="002B710B">
        <w:rPr>
          <w:rFonts w:ascii="Times New Roman" w:eastAsia="Arial Unicode MS" w:hAnsi="Times New Roman" w:cs="Times New Roman"/>
          <w:color w:val="auto"/>
          <w:sz w:val="24"/>
          <w:szCs w:val="24"/>
        </w:rPr>
        <w:t>sufficient</w:t>
      </w:r>
      <w:r w:rsidR="009C3A03" w:rsidRPr="002B710B">
        <w:rPr>
          <w:rFonts w:ascii="Times New Roman" w:eastAsia="Arial Unicode MS" w:hAnsi="Times New Roman" w:cs="Times New Roman"/>
          <w:color w:val="auto"/>
          <w:sz w:val="24"/>
          <w:szCs w:val="24"/>
        </w:rPr>
        <w:t xml:space="preserve"> number of STEM baccalaureate </w:t>
      </w:r>
      <w:r w:rsidR="000D0DDE" w:rsidRPr="002B710B">
        <w:rPr>
          <w:rFonts w:ascii="Times New Roman" w:eastAsia="Arial Unicode MS" w:hAnsi="Times New Roman" w:cs="Times New Roman"/>
          <w:color w:val="auto"/>
          <w:sz w:val="24"/>
          <w:szCs w:val="24"/>
        </w:rPr>
        <w:t>degree-</w:t>
      </w:r>
      <w:r w:rsidR="009C3A03" w:rsidRPr="002B710B">
        <w:rPr>
          <w:rFonts w:ascii="Times New Roman" w:eastAsia="Arial Unicode MS" w:hAnsi="Times New Roman" w:cs="Times New Roman"/>
          <w:color w:val="auto"/>
          <w:sz w:val="24"/>
          <w:szCs w:val="24"/>
        </w:rPr>
        <w:t>holders with a projected shortfall of one million STEM professionals and over 100,000 STEM tea</w:t>
      </w:r>
      <w:r w:rsidR="003A7A36">
        <w:rPr>
          <w:rFonts w:ascii="Times New Roman" w:eastAsia="Arial Unicode MS" w:hAnsi="Times New Roman" w:cs="Times New Roman"/>
          <w:color w:val="auto"/>
          <w:sz w:val="24"/>
          <w:szCs w:val="24"/>
        </w:rPr>
        <w:t>chers</w:t>
      </w:r>
      <w:r w:rsidR="00615811">
        <w:rPr>
          <w:rFonts w:ascii="Times New Roman" w:eastAsia="Arial Unicode MS" w:hAnsi="Times New Roman" w:cs="Times New Roman"/>
          <w:color w:val="auto"/>
          <w:sz w:val="24"/>
          <w:szCs w:val="24"/>
        </w:rPr>
        <w:t xml:space="preserve"> in the near future</w:t>
      </w:r>
      <w:r w:rsidR="003A7A36">
        <w:rPr>
          <w:rFonts w:ascii="Times New Roman" w:eastAsia="Arial Unicode MS" w:hAnsi="Times New Roman" w:cs="Times New Roman"/>
          <w:color w:val="auto"/>
          <w:sz w:val="24"/>
          <w:szCs w:val="24"/>
        </w:rPr>
        <w:t xml:space="preserve"> (President’s Council, 2012</w:t>
      </w:r>
      <w:r w:rsidR="009C3A03" w:rsidRPr="002B710B">
        <w:rPr>
          <w:rFonts w:ascii="Times New Roman" w:eastAsia="Arial Unicode MS" w:hAnsi="Times New Roman" w:cs="Times New Roman"/>
          <w:color w:val="auto"/>
          <w:sz w:val="24"/>
          <w:szCs w:val="24"/>
        </w:rPr>
        <w:t xml:space="preserve">).  </w:t>
      </w:r>
    </w:p>
    <w:p w14:paraId="2B84B159" w14:textId="77777777" w:rsidR="00536A97" w:rsidRPr="00113507" w:rsidRDefault="00B23E2B" w:rsidP="002B710B">
      <w:pPr>
        <w:spacing w:after="0" w:line="480" w:lineRule="auto"/>
        <w:ind w:firstLine="720"/>
        <w:rPr>
          <w:rFonts w:ascii="Times New Roman" w:eastAsia="Arial Unicode MS" w:hAnsi="Times New Roman" w:cs="Times New Roman"/>
          <w:color w:val="auto"/>
          <w:sz w:val="24"/>
          <w:szCs w:val="24"/>
        </w:rPr>
      </w:pPr>
      <w:r w:rsidRPr="002B710B">
        <w:rPr>
          <w:rFonts w:ascii="Times New Roman" w:eastAsia="Arial Unicode MS" w:hAnsi="Times New Roman" w:cs="Times New Roman"/>
          <w:color w:val="auto"/>
          <w:sz w:val="24"/>
          <w:szCs w:val="24"/>
        </w:rPr>
        <w:t>Assessments of the shortfall in</w:t>
      </w:r>
      <w:r w:rsidR="00EC403C" w:rsidRPr="002B710B">
        <w:rPr>
          <w:rFonts w:ascii="Times New Roman" w:eastAsia="Arial Unicode MS" w:hAnsi="Times New Roman" w:cs="Times New Roman"/>
          <w:color w:val="auto"/>
          <w:sz w:val="24"/>
          <w:szCs w:val="24"/>
        </w:rPr>
        <w:t xml:space="preserve"> STEM </w:t>
      </w:r>
      <w:r w:rsidRPr="002B710B">
        <w:rPr>
          <w:rFonts w:ascii="Times New Roman" w:eastAsia="Arial Unicode MS" w:hAnsi="Times New Roman" w:cs="Times New Roman"/>
          <w:color w:val="auto"/>
          <w:sz w:val="24"/>
          <w:szCs w:val="24"/>
        </w:rPr>
        <w:t xml:space="preserve">production </w:t>
      </w:r>
      <w:r w:rsidR="00BA1C6E" w:rsidRPr="002B710B">
        <w:rPr>
          <w:rFonts w:ascii="Times New Roman" w:eastAsia="Arial Unicode MS" w:hAnsi="Times New Roman" w:cs="Times New Roman"/>
          <w:color w:val="auto"/>
          <w:sz w:val="24"/>
          <w:szCs w:val="24"/>
        </w:rPr>
        <w:t>has come under criticism</w:t>
      </w:r>
      <w:r w:rsidRPr="002B710B">
        <w:rPr>
          <w:rFonts w:ascii="Times New Roman" w:eastAsia="Arial Unicode MS" w:hAnsi="Times New Roman" w:cs="Times New Roman"/>
          <w:color w:val="auto"/>
          <w:sz w:val="24"/>
          <w:szCs w:val="24"/>
        </w:rPr>
        <w:t xml:space="preserve"> in recent years</w:t>
      </w:r>
      <w:r w:rsidR="00EC403C" w:rsidRPr="002B710B">
        <w:rPr>
          <w:rFonts w:ascii="Times New Roman" w:eastAsia="Arial Unicode MS" w:hAnsi="Times New Roman" w:cs="Times New Roman"/>
          <w:color w:val="auto"/>
          <w:sz w:val="24"/>
          <w:szCs w:val="24"/>
        </w:rPr>
        <w:t>,</w:t>
      </w:r>
      <w:r w:rsidR="00BA1C6E" w:rsidRPr="002B710B">
        <w:rPr>
          <w:rFonts w:ascii="Times New Roman" w:eastAsia="Arial Unicode MS" w:hAnsi="Times New Roman" w:cs="Times New Roman"/>
          <w:color w:val="auto"/>
          <w:sz w:val="24"/>
          <w:szCs w:val="24"/>
        </w:rPr>
        <w:t xml:space="preserve"> with some citing the approximately eleven million STEM graduates that work outside of </w:t>
      </w:r>
      <w:r w:rsidR="00EC403C" w:rsidRPr="002B710B">
        <w:rPr>
          <w:rFonts w:ascii="Times New Roman" w:eastAsia="Arial Unicode MS" w:hAnsi="Times New Roman" w:cs="Times New Roman"/>
          <w:color w:val="auto"/>
          <w:sz w:val="24"/>
          <w:szCs w:val="24"/>
        </w:rPr>
        <w:t>a STEM</w:t>
      </w:r>
      <w:r w:rsidR="00BA1C6E" w:rsidRPr="002B710B">
        <w:rPr>
          <w:rFonts w:ascii="Times New Roman" w:eastAsia="Arial Unicode MS" w:hAnsi="Times New Roman" w:cs="Times New Roman"/>
          <w:color w:val="auto"/>
          <w:sz w:val="24"/>
          <w:szCs w:val="24"/>
        </w:rPr>
        <w:t xml:space="preserve"> field</w:t>
      </w:r>
      <w:r w:rsidR="00EC403C" w:rsidRPr="002B710B">
        <w:rPr>
          <w:rFonts w:ascii="Times New Roman" w:eastAsia="Arial Unicode MS" w:hAnsi="Times New Roman" w:cs="Times New Roman"/>
          <w:color w:val="auto"/>
          <w:sz w:val="24"/>
          <w:szCs w:val="24"/>
        </w:rPr>
        <w:t xml:space="preserve"> as evidence that we have to</w:t>
      </w:r>
      <w:r w:rsidR="00A03343" w:rsidRPr="002B710B">
        <w:rPr>
          <w:rFonts w:ascii="Times New Roman" w:eastAsia="Arial Unicode MS" w:hAnsi="Times New Roman" w:cs="Times New Roman"/>
          <w:color w:val="auto"/>
          <w:sz w:val="24"/>
          <w:szCs w:val="24"/>
        </w:rPr>
        <w:t>o</w:t>
      </w:r>
      <w:r w:rsidR="00EC403C" w:rsidRPr="002B710B">
        <w:rPr>
          <w:rFonts w:ascii="Times New Roman" w:eastAsia="Arial Unicode MS" w:hAnsi="Times New Roman" w:cs="Times New Roman"/>
          <w:color w:val="auto"/>
          <w:sz w:val="24"/>
          <w:szCs w:val="24"/>
        </w:rPr>
        <w:t xml:space="preserve"> many</w:t>
      </w:r>
      <w:r w:rsidRPr="002B710B">
        <w:rPr>
          <w:rFonts w:ascii="Times New Roman" w:eastAsia="Arial Unicode MS" w:hAnsi="Times New Roman" w:cs="Times New Roman"/>
          <w:color w:val="auto"/>
          <w:sz w:val="24"/>
          <w:szCs w:val="24"/>
        </w:rPr>
        <w:t xml:space="preserve">, not too few, STEM degree-holders </w:t>
      </w:r>
      <w:r w:rsidR="00BA1C6E" w:rsidRPr="002B710B">
        <w:rPr>
          <w:rFonts w:ascii="Times New Roman" w:eastAsia="Arial Unicode MS" w:hAnsi="Times New Roman" w:cs="Times New Roman"/>
          <w:color w:val="auto"/>
          <w:sz w:val="24"/>
          <w:szCs w:val="24"/>
        </w:rPr>
        <w:t>(</w:t>
      </w:r>
      <w:proofErr w:type="spellStart"/>
      <w:r w:rsidR="00BA1C6E" w:rsidRPr="002B710B">
        <w:rPr>
          <w:rFonts w:ascii="Times New Roman" w:eastAsia="Arial Unicode MS" w:hAnsi="Times New Roman" w:cs="Times New Roman"/>
          <w:color w:val="auto"/>
          <w:sz w:val="24"/>
          <w:szCs w:val="24"/>
        </w:rPr>
        <w:t>Charette</w:t>
      </w:r>
      <w:proofErr w:type="spellEnd"/>
      <w:r w:rsidR="00BA1C6E" w:rsidRPr="002B710B">
        <w:rPr>
          <w:rFonts w:ascii="Times New Roman" w:eastAsia="Arial Unicode MS" w:hAnsi="Times New Roman" w:cs="Times New Roman"/>
          <w:color w:val="auto"/>
          <w:sz w:val="24"/>
          <w:szCs w:val="24"/>
        </w:rPr>
        <w:t>, 2013</w:t>
      </w:r>
      <w:r w:rsidR="009C3A03" w:rsidRPr="002B710B">
        <w:rPr>
          <w:rFonts w:ascii="Times New Roman" w:eastAsia="Arial Unicode MS" w:hAnsi="Times New Roman" w:cs="Times New Roman"/>
          <w:color w:val="auto"/>
          <w:sz w:val="24"/>
          <w:szCs w:val="24"/>
        </w:rPr>
        <w:t xml:space="preserve">; </w:t>
      </w:r>
      <w:r w:rsidR="00536A97" w:rsidRPr="002B710B">
        <w:rPr>
          <w:rFonts w:ascii="Times New Roman" w:eastAsia="Arial Unicode MS" w:hAnsi="Times New Roman" w:cs="Times New Roman"/>
          <w:color w:val="auto"/>
          <w:sz w:val="24"/>
          <w:szCs w:val="24"/>
        </w:rPr>
        <w:t xml:space="preserve">National Science Board, 2015; </w:t>
      </w:r>
      <w:proofErr w:type="spellStart"/>
      <w:r w:rsidR="009C3A03" w:rsidRPr="002B710B">
        <w:rPr>
          <w:rFonts w:ascii="Times New Roman" w:eastAsia="Arial Unicode MS" w:hAnsi="Times New Roman" w:cs="Times New Roman"/>
          <w:color w:val="auto"/>
          <w:sz w:val="24"/>
          <w:szCs w:val="24"/>
        </w:rPr>
        <w:t>Salzman</w:t>
      </w:r>
      <w:proofErr w:type="spellEnd"/>
      <w:r w:rsidR="009C3A03" w:rsidRPr="002B710B">
        <w:rPr>
          <w:rFonts w:ascii="Times New Roman" w:eastAsia="Arial Unicode MS" w:hAnsi="Times New Roman" w:cs="Times New Roman"/>
          <w:color w:val="auto"/>
          <w:sz w:val="24"/>
          <w:szCs w:val="24"/>
        </w:rPr>
        <w:t>, 2013</w:t>
      </w:r>
      <w:r w:rsidR="00BA1C6E" w:rsidRPr="002B710B">
        <w:rPr>
          <w:rFonts w:ascii="Times New Roman" w:eastAsia="Arial Unicode MS" w:hAnsi="Times New Roman" w:cs="Times New Roman"/>
          <w:color w:val="auto"/>
          <w:sz w:val="24"/>
          <w:szCs w:val="24"/>
        </w:rPr>
        <w:t>)</w:t>
      </w:r>
      <w:r w:rsidR="00EC403C" w:rsidRPr="002B710B">
        <w:rPr>
          <w:rFonts w:ascii="Times New Roman" w:eastAsia="Arial Unicode MS" w:hAnsi="Times New Roman" w:cs="Times New Roman"/>
          <w:color w:val="auto"/>
          <w:sz w:val="24"/>
          <w:szCs w:val="24"/>
        </w:rPr>
        <w:t xml:space="preserve">.  </w:t>
      </w:r>
      <w:r w:rsidRPr="002B710B">
        <w:rPr>
          <w:rFonts w:ascii="Times New Roman" w:eastAsia="Arial Unicode MS" w:hAnsi="Times New Roman" w:cs="Times New Roman"/>
          <w:color w:val="auto"/>
          <w:sz w:val="24"/>
          <w:szCs w:val="24"/>
        </w:rPr>
        <w:t>Yet</w:t>
      </w:r>
      <w:r w:rsidR="00EC403C" w:rsidRPr="002B710B">
        <w:rPr>
          <w:rFonts w:ascii="Times New Roman" w:eastAsia="Arial Unicode MS" w:hAnsi="Times New Roman" w:cs="Times New Roman"/>
          <w:color w:val="auto"/>
          <w:sz w:val="24"/>
          <w:szCs w:val="24"/>
        </w:rPr>
        <w:t xml:space="preserve">, even those who disagree </w:t>
      </w:r>
      <w:r w:rsidRPr="002B710B">
        <w:rPr>
          <w:rFonts w:ascii="Times New Roman" w:eastAsia="Arial Unicode MS" w:hAnsi="Times New Roman" w:cs="Times New Roman"/>
          <w:color w:val="auto"/>
          <w:sz w:val="24"/>
          <w:szCs w:val="24"/>
        </w:rPr>
        <w:t xml:space="preserve">with the dire projections acknowledge that </w:t>
      </w:r>
      <w:r w:rsidR="00EC403C" w:rsidRPr="002B710B">
        <w:rPr>
          <w:rFonts w:ascii="Times New Roman" w:eastAsia="Arial Unicode MS" w:hAnsi="Times New Roman" w:cs="Times New Roman"/>
          <w:color w:val="auto"/>
          <w:sz w:val="24"/>
          <w:szCs w:val="24"/>
        </w:rPr>
        <w:t xml:space="preserve">there are a </w:t>
      </w:r>
      <w:r w:rsidRPr="002B710B">
        <w:rPr>
          <w:rFonts w:ascii="Times New Roman" w:eastAsia="Arial Unicode MS" w:hAnsi="Times New Roman" w:cs="Times New Roman"/>
          <w:color w:val="auto"/>
          <w:sz w:val="24"/>
          <w:szCs w:val="24"/>
        </w:rPr>
        <w:t xml:space="preserve">large </w:t>
      </w:r>
      <w:r w:rsidR="00EC403C" w:rsidRPr="002B710B">
        <w:rPr>
          <w:rFonts w:ascii="Times New Roman" w:eastAsia="Arial Unicode MS" w:hAnsi="Times New Roman" w:cs="Times New Roman"/>
          <w:color w:val="auto"/>
          <w:sz w:val="24"/>
          <w:szCs w:val="24"/>
        </w:rPr>
        <w:t>number of unfilled STEM jobs (</w:t>
      </w:r>
      <w:proofErr w:type="spellStart"/>
      <w:r w:rsidR="00EC403C" w:rsidRPr="002B710B">
        <w:rPr>
          <w:rFonts w:ascii="Times New Roman" w:eastAsia="Arial Unicode MS" w:hAnsi="Times New Roman" w:cs="Times New Roman"/>
          <w:color w:val="auto"/>
          <w:sz w:val="24"/>
          <w:szCs w:val="24"/>
        </w:rPr>
        <w:t>Charette</w:t>
      </w:r>
      <w:proofErr w:type="spellEnd"/>
      <w:r w:rsidR="00EC403C" w:rsidRPr="002B710B">
        <w:rPr>
          <w:rFonts w:ascii="Times New Roman" w:eastAsia="Arial Unicode MS" w:hAnsi="Times New Roman" w:cs="Times New Roman"/>
          <w:color w:val="auto"/>
          <w:sz w:val="24"/>
          <w:szCs w:val="24"/>
        </w:rPr>
        <w:t>, 2013) and that</w:t>
      </w:r>
      <w:r w:rsidR="00B75784" w:rsidRPr="002B710B">
        <w:rPr>
          <w:rFonts w:ascii="Times New Roman" w:eastAsia="Arial Unicode MS" w:hAnsi="Times New Roman" w:cs="Times New Roman"/>
          <w:color w:val="auto"/>
          <w:sz w:val="24"/>
          <w:szCs w:val="24"/>
        </w:rPr>
        <w:t xml:space="preserve"> </w:t>
      </w:r>
      <w:r w:rsidR="00EC403C" w:rsidRPr="002B710B">
        <w:rPr>
          <w:rFonts w:ascii="Times New Roman" w:eastAsia="Arial Unicode MS" w:hAnsi="Times New Roman" w:cs="Times New Roman"/>
          <w:color w:val="auto"/>
          <w:sz w:val="24"/>
          <w:szCs w:val="24"/>
        </w:rPr>
        <w:t>students who graduate in STEM fields</w:t>
      </w:r>
      <w:r w:rsidR="00B75784" w:rsidRPr="002B710B">
        <w:rPr>
          <w:rFonts w:ascii="Times New Roman" w:eastAsia="Arial Unicode MS" w:hAnsi="Times New Roman" w:cs="Times New Roman"/>
          <w:color w:val="auto"/>
          <w:sz w:val="24"/>
          <w:szCs w:val="24"/>
        </w:rPr>
        <w:t xml:space="preserve"> have a lower </w:t>
      </w:r>
      <w:r w:rsidR="00EC403C" w:rsidRPr="002B710B">
        <w:rPr>
          <w:rFonts w:ascii="Times New Roman" w:eastAsia="Arial Unicode MS" w:hAnsi="Times New Roman" w:cs="Times New Roman"/>
          <w:color w:val="auto"/>
          <w:sz w:val="24"/>
          <w:szCs w:val="24"/>
        </w:rPr>
        <w:t xml:space="preserve">probability of being unemployed </w:t>
      </w:r>
      <w:r w:rsidR="00B75784" w:rsidRPr="002B710B">
        <w:rPr>
          <w:rFonts w:ascii="Times New Roman" w:eastAsia="Arial Unicode MS" w:hAnsi="Times New Roman" w:cs="Times New Roman"/>
          <w:color w:val="auto"/>
          <w:sz w:val="24"/>
          <w:szCs w:val="24"/>
        </w:rPr>
        <w:t xml:space="preserve">than do </w:t>
      </w:r>
      <w:r w:rsidR="00EC403C" w:rsidRPr="002B710B">
        <w:rPr>
          <w:rFonts w:ascii="Times New Roman" w:eastAsia="Arial Unicode MS" w:hAnsi="Times New Roman" w:cs="Times New Roman"/>
          <w:color w:val="auto"/>
          <w:sz w:val="24"/>
          <w:szCs w:val="24"/>
        </w:rPr>
        <w:t>their non-STEM colleagues (</w:t>
      </w:r>
      <w:proofErr w:type="spellStart"/>
      <w:r w:rsidR="00EC403C" w:rsidRPr="002B710B">
        <w:rPr>
          <w:rFonts w:ascii="Times New Roman" w:eastAsia="Arial Unicode MS" w:hAnsi="Times New Roman" w:cs="Times New Roman"/>
          <w:color w:val="auto"/>
          <w:sz w:val="24"/>
          <w:szCs w:val="24"/>
        </w:rPr>
        <w:t>Salzman</w:t>
      </w:r>
      <w:proofErr w:type="spellEnd"/>
      <w:r w:rsidR="00EC403C" w:rsidRPr="002B710B">
        <w:rPr>
          <w:rFonts w:ascii="Times New Roman" w:eastAsia="Arial Unicode MS" w:hAnsi="Times New Roman" w:cs="Times New Roman"/>
          <w:color w:val="auto"/>
          <w:sz w:val="24"/>
          <w:szCs w:val="24"/>
        </w:rPr>
        <w:t xml:space="preserve">, 2013).  </w:t>
      </w:r>
      <w:r w:rsidR="00B75784" w:rsidRPr="002B710B">
        <w:rPr>
          <w:rFonts w:ascii="Times New Roman" w:eastAsia="Arial Unicode MS" w:hAnsi="Times New Roman" w:cs="Times New Roman"/>
          <w:color w:val="auto"/>
          <w:sz w:val="24"/>
          <w:szCs w:val="24"/>
        </w:rPr>
        <w:t>Moreover</w:t>
      </w:r>
      <w:r w:rsidR="00EC403C" w:rsidRPr="002B710B">
        <w:rPr>
          <w:rFonts w:ascii="Times New Roman" w:eastAsia="Arial Unicode MS" w:hAnsi="Times New Roman" w:cs="Times New Roman"/>
          <w:color w:val="auto"/>
          <w:sz w:val="24"/>
          <w:szCs w:val="24"/>
        </w:rPr>
        <w:t xml:space="preserve">, the need to increase </w:t>
      </w:r>
      <w:r w:rsidR="00B75784" w:rsidRPr="002B710B">
        <w:rPr>
          <w:rFonts w:ascii="Times New Roman" w:eastAsia="Arial Unicode MS" w:hAnsi="Times New Roman" w:cs="Times New Roman"/>
          <w:color w:val="auto"/>
          <w:sz w:val="24"/>
          <w:szCs w:val="24"/>
        </w:rPr>
        <w:t xml:space="preserve">the production of </w:t>
      </w:r>
      <w:r w:rsidR="00EC403C" w:rsidRPr="002B710B">
        <w:rPr>
          <w:rFonts w:ascii="Times New Roman" w:eastAsia="Arial Unicode MS" w:hAnsi="Times New Roman" w:cs="Times New Roman"/>
          <w:color w:val="auto"/>
          <w:sz w:val="24"/>
          <w:szCs w:val="24"/>
        </w:rPr>
        <w:t xml:space="preserve">STEM </w:t>
      </w:r>
      <w:r w:rsidR="00B75784" w:rsidRPr="002B710B">
        <w:rPr>
          <w:rFonts w:ascii="Times New Roman" w:eastAsia="Arial Unicode MS" w:hAnsi="Times New Roman" w:cs="Times New Roman"/>
          <w:color w:val="auto"/>
          <w:sz w:val="24"/>
          <w:szCs w:val="24"/>
        </w:rPr>
        <w:t xml:space="preserve">graduates </w:t>
      </w:r>
      <w:r w:rsidR="00EC403C" w:rsidRPr="002B710B">
        <w:rPr>
          <w:rFonts w:ascii="Times New Roman" w:eastAsia="Arial Unicode MS" w:hAnsi="Times New Roman" w:cs="Times New Roman"/>
          <w:color w:val="auto"/>
          <w:sz w:val="24"/>
          <w:szCs w:val="24"/>
        </w:rPr>
        <w:t xml:space="preserve">is </w:t>
      </w:r>
      <w:r w:rsidR="000B6B07">
        <w:rPr>
          <w:rFonts w:ascii="Times New Roman" w:eastAsia="Arial Unicode MS" w:hAnsi="Times New Roman" w:cs="Times New Roman"/>
          <w:color w:val="auto"/>
          <w:sz w:val="24"/>
          <w:szCs w:val="24"/>
        </w:rPr>
        <w:t>critical to</w:t>
      </w:r>
      <w:r w:rsidR="00EC403C" w:rsidRPr="002B710B">
        <w:rPr>
          <w:rFonts w:ascii="Times New Roman" w:eastAsia="Arial Unicode MS" w:hAnsi="Times New Roman" w:cs="Times New Roman"/>
          <w:color w:val="auto"/>
          <w:sz w:val="24"/>
          <w:szCs w:val="24"/>
        </w:rPr>
        <w:t xml:space="preserve"> develop a more innovative workforce </w:t>
      </w:r>
      <w:r w:rsidR="00A03343" w:rsidRPr="002B710B">
        <w:rPr>
          <w:rFonts w:ascii="Times New Roman" w:eastAsia="Arial Unicode MS" w:hAnsi="Times New Roman" w:cs="Times New Roman"/>
          <w:color w:val="auto"/>
          <w:sz w:val="24"/>
          <w:szCs w:val="24"/>
        </w:rPr>
        <w:t>(</w:t>
      </w:r>
      <w:proofErr w:type="spellStart"/>
      <w:r w:rsidR="00EC403C" w:rsidRPr="002B710B">
        <w:rPr>
          <w:rFonts w:ascii="Times New Roman" w:eastAsia="Arial Unicode MS" w:hAnsi="Times New Roman" w:cs="Times New Roman"/>
          <w:color w:val="auto"/>
          <w:sz w:val="24"/>
          <w:szCs w:val="24"/>
        </w:rPr>
        <w:t>Carnevale</w:t>
      </w:r>
      <w:proofErr w:type="spellEnd"/>
      <w:r w:rsidR="00EC403C" w:rsidRPr="002B710B">
        <w:rPr>
          <w:rFonts w:ascii="Times New Roman" w:eastAsia="Arial Unicode MS" w:hAnsi="Times New Roman" w:cs="Times New Roman"/>
          <w:color w:val="auto"/>
          <w:sz w:val="24"/>
          <w:szCs w:val="24"/>
        </w:rPr>
        <w:t xml:space="preserve"> </w:t>
      </w:r>
      <w:r w:rsidR="00A03343" w:rsidRPr="002B710B">
        <w:rPr>
          <w:rFonts w:ascii="Times New Roman" w:eastAsia="Arial Unicode MS" w:hAnsi="Times New Roman" w:cs="Times New Roman"/>
          <w:color w:val="auto"/>
          <w:sz w:val="24"/>
          <w:szCs w:val="24"/>
        </w:rPr>
        <w:t xml:space="preserve">et al., </w:t>
      </w:r>
      <w:r w:rsidR="00EC403C" w:rsidRPr="002B710B">
        <w:rPr>
          <w:rFonts w:ascii="Times New Roman" w:eastAsia="Arial Unicode MS" w:hAnsi="Times New Roman" w:cs="Times New Roman"/>
          <w:color w:val="auto"/>
          <w:sz w:val="24"/>
          <w:szCs w:val="24"/>
        </w:rPr>
        <w:t>2011) and maintain our global economic competitiveness (National Science Foundation, 2012)</w:t>
      </w:r>
      <w:r w:rsidR="00EC403C" w:rsidRPr="00113507">
        <w:rPr>
          <w:rFonts w:ascii="Times New Roman" w:eastAsia="Arial Unicode MS" w:hAnsi="Times New Roman" w:cs="Times New Roman"/>
          <w:color w:val="auto"/>
          <w:sz w:val="24"/>
          <w:szCs w:val="24"/>
        </w:rPr>
        <w:t xml:space="preserve">.   </w:t>
      </w:r>
    </w:p>
    <w:p w14:paraId="1C94784E" w14:textId="77777777" w:rsidR="00347A04" w:rsidRPr="002B710B" w:rsidRDefault="00347A04" w:rsidP="002B710B">
      <w:pPr>
        <w:spacing w:after="0" w:line="480" w:lineRule="auto"/>
        <w:rPr>
          <w:rFonts w:ascii="Times New Roman" w:eastAsia="Arial Unicode MS" w:hAnsi="Times New Roman" w:cs="Times New Roman"/>
          <w:color w:val="auto"/>
          <w:sz w:val="24"/>
          <w:szCs w:val="24"/>
        </w:rPr>
      </w:pPr>
      <w:r w:rsidRPr="002B710B">
        <w:rPr>
          <w:rFonts w:ascii="Times New Roman" w:eastAsia="Arial Unicode MS" w:hAnsi="Times New Roman" w:cs="Times New Roman"/>
          <w:b/>
          <w:color w:val="auto"/>
          <w:sz w:val="24"/>
          <w:szCs w:val="24"/>
        </w:rPr>
        <w:t>Role of Community Colleges</w:t>
      </w:r>
    </w:p>
    <w:p w14:paraId="06D7FB11" w14:textId="77777777" w:rsidR="0028605A" w:rsidRPr="002B710B" w:rsidRDefault="00615811" w:rsidP="002B710B">
      <w:pPr>
        <w:spacing w:after="0" w:line="480" w:lineRule="auto"/>
        <w:ind w:firstLine="720"/>
        <w:rPr>
          <w:rFonts w:ascii="Times New Roman" w:eastAsia="Arial Unicode MS" w:hAnsi="Times New Roman" w:cs="Times New Roman"/>
          <w:color w:val="auto"/>
          <w:sz w:val="24"/>
          <w:szCs w:val="24"/>
        </w:rPr>
      </w:pPr>
      <w:r>
        <w:rPr>
          <w:rFonts w:ascii="Times New Roman" w:eastAsia="Arial Unicode MS" w:hAnsi="Times New Roman" w:cs="Times New Roman"/>
          <w:color w:val="auto"/>
          <w:sz w:val="24"/>
          <w:szCs w:val="24"/>
        </w:rPr>
        <w:t>B</w:t>
      </w:r>
      <w:r w:rsidR="00933B3A" w:rsidRPr="002B710B">
        <w:rPr>
          <w:rFonts w:ascii="Times New Roman" w:eastAsia="Arial Unicode MS" w:hAnsi="Times New Roman" w:cs="Times New Roman"/>
          <w:color w:val="auto"/>
          <w:sz w:val="24"/>
          <w:szCs w:val="24"/>
        </w:rPr>
        <w:t xml:space="preserve">uilding on the work of Bragg (2012), </w:t>
      </w:r>
      <w:proofErr w:type="spellStart"/>
      <w:r w:rsidR="00933B3A" w:rsidRPr="002B710B">
        <w:rPr>
          <w:rFonts w:ascii="Times New Roman" w:eastAsia="Arial Unicode MS" w:hAnsi="Times New Roman" w:cs="Times New Roman"/>
          <w:color w:val="auto"/>
          <w:sz w:val="24"/>
          <w:szCs w:val="24"/>
        </w:rPr>
        <w:t>Terrenzini</w:t>
      </w:r>
      <w:proofErr w:type="spellEnd"/>
      <w:r w:rsidR="00933B3A" w:rsidRPr="002B710B">
        <w:rPr>
          <w:rFonts w:ascii="Times New Roman" w:eastAsia="Arial Unicode MS" w:hAnsi="Times New Roman" w:cs="Times New Roman"/>
          <w:color w:val="auto"/>
          <w:sz w:val="24"/>
          <w:szCs w:val="24"/>
        </w:rPr>
        <w:t xml:space="preserve">, et al. (2014), Wang (2015), and others, </w:t>
      </w:r>
      <w:r w:rsidRPr="002B710B">
        <w:rPr>
          <w:rFonts w:ascii="Times New Roman" w:eastAsia="Arial Unicode MS" w:hAnsi="Times New Roman" w:cs="Times New Roman"/>
          <w:color w:val="auto"/>
          <w:sz w:val="24"/>
          <w:szCs w:val="24"/>
        </w:rPr>
        <w:t xml:space="preserve">Bahr and his colleagues (2016) </w:t>
      </w:r>
      <w:r w:rsidR="00536A97" w:rsidRPr="002B710B">
        <w:rPr>
          <w:rFonts w:ascii="Times New Roman" w:eastAsia="Arial Unicode MS" w:hAnsi="Times New Roman" w:cs="Times New Roman"/>
          <w:color w:val="auto"/>
          <w:sz w:val="24"/>
          <w:szCs w:val="24"/>
        </w:rPr>
        <w:t>present a</w:t>
      </w:r>
      <w:r w:rsidR="00EF6CF6" w:rsidRPr="002B710B">
        <w:rPr>
          <w:rFonts w:ascii="Times New Roman" w:eastAsia="Arial Unicode MS" w:hAnsi="Times New Roman" w:cs="Times New Roman"/>
          <w:color w:val="auto"/>
          <w:sz w:val="24"/>
          <w:szCs w:val="24"/>
        </w:rPr>
        <w:t xml:space="preserve"> compelling case </w:t>
      </w:r>
      <w:r w:rsidR="00347A04" w:rsidRPr="002B710B">
        <w:rPr>
          <w:rFonts w:ascii="Times New Roman" w:eastAsia="Arial Unicode MS" w:hAnsi="Times New Roman" w:cs="Times New Roman"/>
          <w:color w:val="auto"/>
          <w:sz w:val="24"/>
          <w:szCs w:val="24"/>
        </w:rPr>
        <w:t xml:space="preserve">for the </w:t>
      </w:r>
      <w:r w:rsidR="00685788" w:rsidRPr="002B710B">
        <w:rPr>
          <w:rFonts w:ascii="Times New Roman" w:eastAsia="Arial Unicode MS" w:hAnsi="Times New Roman" w:cs="Times New Roman"/>
          <w:color w:val="auto"/>
          <w:sz w:val="24"/>
          <w:szCs w:val="24"/>
        </w:rPr>
        <w:t xml:space="preserve">potentially </w:t>
      </w:r>
      <w:r w:rsidR="007D5B6C" w:rsidRPr="002B710B">
        <w:rPr>
          <w:rFonts w:ascii="Times New Roman" w:eastAsia="Arial Unicode MS" w:hAnsi="Times New Roman" w:cs="Times New Roman"/>
          <w:color w:val="auto"/>
          <w:sz w:val="24"/>
          <w:szCs w:val="24"/>
        </w:rPr>
        <w:t>sizable</w:t>
      </w:r>
      <w:r w:rsidR="00347A04" w:rsidRPr="002B710B">
        <w:rPr>
          <w:rFonts w:ascii="Times New Roman" w:eastAsia="Arial Unicode MS" w:hAnsi="Times New Roman" w:cs="Times New Roman"/>
          <w:color w:val="auto"/>
          <w:sz w:val="24"/>
          <w:szCs w:val="24"/>
        </w:rPr>
        <w:t xml:space="preserve"> role of </w:t>
      </w:r>
      <w:r w:rsidR="00536A97" w:rsidRPr="002B710B">
        <w:rPr>
          <w:rFonts w:ascii="Times New Roman" w:eastAsia="Arial Unicode MS" w:hAnsi="Times New Roman" w:cs="Times New Roman"/>
          <w:color w:val="auto"/>
          <w:sz w:val="24"/>
          <w:szCs w:val="24"/>
        </w:rPr>
        <w:t xml:space="preserve">community colleges </w:t>
      </w:r>
      <w:r w:rsidR="00347A04" w:rsidRPr="002B710B">
        <w:rPr>
          <w:rFonts w:ascii="Times New Roman" w:eastAsia="Arial Unicode MS" w:hAnsi="Times New Roman" w:cs="Times New Roman"/>
          <w:color w:val="auto"/>
          <w:sz w:val="24"/>
          <w:szCs w:val="24"/>
        </w:rPr>
        <w:t>in</w:t>
      </w:r>
      <w:r w:rsidR="00536A97" w:rsidRPr="002B710B">
        <w:rPr>
          <w:rFonts w:ascii="Times New Roman" w:eastAsia="Arial Unicode MS" w:hAnsi="Times New Roman" w:cs="Times New Roman"/>
          <w:color w:val="auto"/>
          <w:sz w:val="24"/>
          <w:szCs w:val="24"/>
        </w:rPr>
        <w:t xml:space="preserve"> resolving the STEM shortage.</w:t>
      </w:r>
      <w:r w:rsidR="00536A97" w:rsidRPr="00113507">
        <w:rPr>
          <w:rFonts w:ascii="Times New Roman" w:eastAsia="Arial Unicode MS" w:hAnsi="Times New Roman" w:cs="Times New Roman"/>
          <w:color w:val="auto"/>
          <w:sz w:val="24"/>
          <w:szCs w:val="24"/>
        </w:rPr>
        <w:t xml:space="preserve">  </w:t>
      </w:r>
      <w:r>
        <w:rPr>
          <w:rFonts w:ascii="Times New Roman" w:eastAsia="Arial Unicode MS" w:hAnsi="Times New Roman" w:cs="Times New Roman"/>
          <w:color w:val="auto"/>
          <w:sz w:val="24"/>
          <w:szCs w:val="24"/>
        </w:rPr>
        <w:t>They cite the fact that c</w:t>
      </w:r>
      <w:r w:rsidR="00933B3A" w:rsidRPr="009C0EDA">
        <w:rPr>
          <w:rFonts w:ascii="Times New Roman" w:eastAsia="Arial Unicode MS" w:hAnsi="Times New Roman" w:cs="Times New Roman"/>
          <w:color w:val="auto"/>
          <w:sz w:val="24"/>
          <w:szCs w:val="24"/>
        </w:rPr>
        <w:t>ommunit</w:t>
      </w:r>
      <w:r w:rsidR="00933B3A" w:rsidRPr="002B710B">
        <w:rPr>
          <w:rFonts w:ascii="Times New Roman" w:eastAsia="Arial Unicode MS" w:hAnsi="Times New Roman" w:cs="Times New Roman"/>
          <w:color w:val="auto"/>
          <w:sz w:val="24"/>
          <w:szCs w:val="24"/>
        </w:rPr>
        <w:t>y colleges</w:t>
      </w:r>
      <w:r w:rsidR="00685788" w:rsidRPr="002B710B">
        <w:rPr>
          <w:rFonts w:ascii="Times New Roman" w:eastAsia="Arial Unicode MS" w:hAnsi="Times New Roman" w:cs="Times New Roman"/>
          <w:color w:val="auto"/>
          <w:sz w:val="24"/>
          <w:szCs w:val="24"/>
        </w:rPr>
        <w:t xml:space="preserve"> </w:t>
      </w:r>
      <w:r w:rsidR="00536A97" w:rsidRPr="002B710B">
        <w:rPr>
          <w:rFonts w:ascii="Times New Roman" w:eastAsia="Arial Unicode MS" w:hAnsi="Times New Roman" w:cs="Times New Roman"/>
          <w:color w:val="auto"/>
          <w:sz w:val="24"/>
          <w:szCs w:val="24"/>
        </w:rPr>
        <w:t xml:space="preserve">account for </w:t>
      </w:r>
      <w:r w:rsidR="00933B3A" w:rsidRPr="002B710B">
        <w:rPr>
          <w:rFonts w:ascii="Times New Roman" w:eastAsia="Arial Unicode MS" w:hAnsi="Times New Roman" w:cs="Times New Roman"/>
          <w:color w:val="auto"/>
          <w:sz w:val="24"/>
          <w:szCs w:val="24"/>
        </w:rPr>
        <w:t xml:space="preserve">about </w:t>
      </w:r>
      <w:r w:rsidR="00536A97" w:rsidRPr="002B710B">
        <w:rPr>
          <w:rFonts w:ascii="Times New Roman" w:eastAsia="Arial Unicode MS" w:hAnsi="Times New Roman" w:cs="Times New Roman"/>
          <w:color w:val="auto"/>
          <w:sz w:val="24"/>
          <w:szCs w:val="24"/>
        </w:rPr>
        <w:t xml:space="preserve">half of </w:t>
      </w:r>
      <w:r w:rsidR="00933B3A" w:rsidRPr="002B710B">
        <w:rPr>
          <w:rFonts w:ascii="Times New Roman" w:eastAsia="Arial Unicode MS" w:hAnsi="Times New Roman" w:cs="Times New Roman"/>
          <w:color w:val="auto"/>
          <w:sz w:val="24"/>
          <w:szCs w:val="24"/>
        </w:rPr>
        <w:t xml:space="preserve">undergraduate </w:t>
      </w:r>
      <w:r w:rsidR="00536A97" w:rsidRPr="002B710B">
        <w:rPr>
          <w:rFonts w:ascii="Times New Roman" w:eastAsia="Arial Unicode MS" w:hAnsi="Times New Roman" w:cs="Times New Roman"/>
          <w:color w:val="auto"/>
          <w:sz w:val="24"/>
          <w:szCs w:val="24"/>
        </w:rPr>
        <w:t xml:space="preserve">enrollment in </w:t>
      </w:r>
      <w:r w:rsidR="00933B3A" w:rsidRPr="002B710B">
        <w:rPr>
          <w:rFonts w:ascii="Times New Roman" w:eastAsia="Arial Unicode MS" w:hAnsi="Times New Roman" w:cs="Times New Roman"/>
          <w:color w:val="auto"/>
          <w:sz w:val="24"/>
          <w:szCs w:val="24"/>
        </w:rPr>
        <w:t>the U.S.</w:t>
      </w:r>
      <w:r w:rsidR="00536A97" w:rsidRPr="002B710B">
        <w:rPr>
          <w:rFonts w:ascii="Times New Roman" w:eastAsia="Arial Unicode MS" w:hAnsi="Times New Roman" w:cs="Times New Roman"/>
          <w:color w:val="auto"/>
          <w:sz w:val="24"/>
          <w:szCs w:val="24"/>
        </w:rPr>
        <w:t xml:space="preserve">, </w:t>
      </w:r>
      <w:r w:rsidR="00933B3A" w:rsidRPr="002B710B">
        <w:rPr>
          <w:rFonts w:ascii="Times New Roman" w:eastAsia="Arial Unicode MS" w:hAnsi="Times New Roman" w:cs="Times New Roman"/>
          <w:color w:val="auto"/>
          <w:sz w:val="24"/>
          <w:szCs w:val="24"/>
        </w:rPr>
        <w:t xml:space="preserve">and are a </w:t>
      </w:r>
      <w:r w:rsidR="00536A97" w:rsidRPr="002B710B">
        <w:rPr>
          <w:rFonts w:ascii="Times New Roman" w:eastAsia="Arial Unicode MS" w:hAnsi="Times New Roman" w:cs="Times New Roman"/>
          <w:color w:val="auto"/>
          <w:sz w:val="24"/>
          <w:szCs w:val="24"/>
        </w:rPr>
        <w:t xml:space="preserve">primary access point </w:t>
      </w:r>
      <w:r w:rsidR="00933B3A" w:rsidRPr="002B710B">
        <w:rPr>
          <w:rFonts w:ascii="Times New Roman" w:eastAsia="Arial Unicode MS" w:hAnsi="Times New Roman" w:cs="Times New Roman"/>
          <w:color w:val="auto"/>
          <w:sz w:val="24"/>
          <w:szCs w:val="24"/>
        </w:rPr>
        <w:t xml:space="preserve">to higher education </w:t>
      </w:r>
      <w:r w:rsidR="00536A97" w:rsidRPr="002B710B">
        <w:rPr>
          <w:rFonts w:ascii="Times New Roman" w:eastAsia="Arial Unicode MS" w:hAnsi="Times New Roman" w:cs="Times New Roman"/>
          <w:color w:val="auto"/>
          <w:sz w:val="24"/>
          <w:szCs w:val="24"/>
        </w:rPr>
        <w:t xml:space="preserve">for students who are underrepresented in STEM fields, </w:t>
      </w:r>
      <w:r w:rsidR="005F0027" w:rsidRPr="002B710B">
        <w:rPr>
          <w:rFonts w:ascii="Times New Roman" w:eastAsia="Arial Unicode MS" w:hAnsi="Times New Roman" w:cs="Times New Roman"/>
          <w:color w:val="auto"/>
          <w:sz w:val="24"/>
          <w:szCs w:val="24"/>
        </w:rPr>
        <w:t>among whom the greatest potential for growth in</w:t>
      </w:r>
      <w:r>
        <w:rPr>
          <w:rFonts w:ascii="Times New Roman" w:eastAsia="Arial Unicode MS" w:hAnsi="Times New Roman" w:cs="Times New Roman"/>
          <w:color w:val="auto"/>
          <w:sz w:val="24"/>
          <w:szCs w:val="24"/>
        </w:rPr>
        <w:t xml:space="preserve"> STEM degree production is found as critical reasons for more intentional research to be conducted on community colleges</w:t>
      </w:r>
      <w:r w:rsidR="005F0027" w:rsidRPr="002B710B">
        <w:rPr>
          <w:rFonts w:ascii="Times New Roman" w:eastAsia="Arial Unicode MS" w:hAnsi="Times New Roman" w:cs="Times New Roman"/>
          <w:color w:val="auto"/>
          <w:sz w:val="24"/>
          <w:szCs w:val="24"/>
        </w:rPr>
        <w:t xml:space="preserve"> </w:t>
      </w:r>
      <w:r w:rsidR="00536A97" w:rsidRPr="002B710B">
        <w:rPr>
          <w:rFonts w:ascii="Times New Roman" w:eastAsia="Arial Unicode MS" w:hAnsi="Times New Roman" w:cs="Times New Roman"/>
          <w:color w:val="auto"/>
          <w:sz w:val="24"/>
          <w:szCs w:val="24"/>
        </w:rPr>
        <w:t xml:space="preserve">(Bahr et al., 2016; Espinosa &amp; </w:t>
      </w:r>
      <w:proofErr w:type="spellStart"/>
      <w:r w:rsidR="00536A97" w:rsidRPr="002B710B">
        <w:rPr>
          <w:rFonts w:ascii="Times New Roman" w:eastAsia="Arial Unicode MS" w:hAnsi="Times New Roman" w:cs="Times New Roman"/>
          <w:color w:val="auto"/>
          <w:sz w:val="24"/>
          <w:szCs w:val="24"/>
        </w:rPr>
        <w:t>Nellum</w:t>
      </w:r>
      <w:proofErr w:type="spellEnd"/>
      <w:r w:rsidR="00536A97" w:rsidRPr="002B710B">
        <w:rPr>
          <w:rFonts w:ascii="Times New Roman" w:eastAsia="Arial Unicode MS" w:hAnsi="Times New Roman" w:cs="Times New Roman"/>
          <w:color w:val="auto"/>
          <w:sz w:val="24"/>
          <w:szCs w:val="24"/>
        </w:rPr>
        <w:t xml:space="preserve">, 2015; </w:t>
      </w:r>
      <w:proofErr w:type="spellStart"/>
      <w:r w:rsidR="00536A97" w:rsidRPr="002B710B">
        <w:rPr>
          <w:rFonts w:ascii="Times New Roman" w:eastAsia="Arial Unicode MS" w:hAnsi="Times New Roman" w:cs="Times New Roman"/>
          <w:color w:val="auto"/>
          <w:sz w:val="24"/>
          <w:szCs w:val="24"/>
        </w:rPr>
        <w:t>Landivar</w:t>
      </w:r>
      <w:proofErr w:type="spellEnd"/>
      <w:r w:rsidR="00536A97" w:rsidRPr="002B710B">
        <w:rPr>
          <w:rFonts w:ascii="Times New Roman" w:eastAsia="Arial Unicode MS" w:hAnsi="Times New Roman" w:cs="Times New Roman"/>
          <w:color w:val="auto"/>
          <w:sz w:val="24"/>
          <w:szCs w:val="24"/>
        </w:rPr>
        <w:t xml:space="preserve">, 2013).  </w:t>
      </w:r>
    </w:p>
    <w:p w14:paraId="26C76D88" w14:textId="77777777" w:rsidR="00536A97" w:rsidRPr="002B710B" w:rsidRDefault="00615811" w:rsidP="002B710B">
      <w:pPr>
        <w:spacing w:after="0" w:line="480" w:lineRule="auto"/>
        <w:ind w:firstLine="720"/>
        <w:rPr>
          <w:rFonts w:ascii="Times New Roman" w:eastAsia="Arial Unicode MS" w:hAnsi="Times New Roman" w:cs="Times New Roman"/>
          <w:color w:val="auto"/>
          <w:sz w:val="24"/>
          <w:szCs w:val="24"/>
        </w:rPr>
      </w:pPr>
      <w:r>
        <w:rPr>
          <w:rFonts w:ascii="Times New Roman" w:eastAsia="Arial Unicode MS" w:hAnsi="Times New Roman" w:cs="Times New Roman"/>
          <w:color w:val="auto"/>
          <w:sz w:val="24"/>
          <w:szCs w:val="24"/>
        </w:rPr>
        <w:lastRenderedPageBreak/>
        <w:t xml:space="preserve">In their study, </w:t>
      </w:r>
      <w:r w:rsidR="00536A97" w:rsidRPr="002B710B">
        <w:rPr>
          <w:rFonts w:ascii="Times New Roman" w:eastAsia="Arial Unicode MS" w:hAnsi="Times New Roman" w:cs="Times New Roman"/>
          <w:color w:val="auto"/>
          <w:sz w:val="24"/>
          <w:szCs w:val="24"/>
        </w:rPr>
        <w:t>Bahr et al. (2016) found that over one-third of students in their sample of three million took at leas</w:t>
      </w:r>
      <w:r w:rsidR="000B6B07">
        <w:rPr>
          <w:rFonts w:ascii="Times New Roman" w:eastAsia="Arial Unicode MS" w:hAnsi="Times New Roman" w:cs="Times New Roman"/>
          <w:color w:val="auto"/>
          <w:sz w:val="24"/>
          <w:szCs w:val="24"/>
        </w:rPr>
        <w:t xml:space="preserve">t one </w:t>
      </w:r>
      <w:r w:rsidR="005F7821">
        <w:rPr>
          <w:rFonts w:ascii="Times New Roman" w:eastAsia="Arial Unicode MS" w:hAnsi="Times New Roman" w:cs="Times New Roman"/>
          <w:color w:val="auto"/>
          <w:sz w:val="24"/>
          <w:szCs w:val="24"/>
        </w:rPr>
        <w:t>college-level</w:t>
      </w:r>
      <w:r w:rsidR="000B6B07">
        <w:rPr>
          <w:rFonts w:ascii="Times New Roman" w:eastAsia="Arial Unicode MS" w:hAnsi="Times New Roman" w:cs="Times New Roman"/>
          <w:color w:val="auto"/>
          <w:sz w:val="24"/>
          <w:szCs w:val="24"/>
        </w:rPr>
        <w:t xml:space="preserve"> STEM course with a large proportion</w:t>
      </w:r>
      <w:r w:rsidR="00D977C3">
        <w:rPr>
          <w:rFonts w:ascii="Times New Roman" w:eastAsia="Arial Unicode MS" w:hAnsi="Times New Roman" w:cs="Times New Roman"/>
          <w:color w:val="auto"/>
          <w:sz w:val="24"/>
          <w:szCs w:val="24"/>
        </w:rPr>
        <w:t xml:space="preserve"> (38</w:t>
      </w:r>
      <w:r w:rsidR="000B6B07">
        <w:rPr>
          <w:rFonts w:ascii="Times New Roman" w:eastAsia="Arial Unicode MS" w:hAnsi="Times New Roman" w:cs="Times New Roman"/>
          <w:color w:val="auto"/>
          <w:sz w:val="24"/>
          <w:szCs w:val="24"/>
        </w:rPr>
        <w:t xml:space="preserve">%) of those students </w:t>
      </w:r>
      <w:r>
        <w:rPr>
          <w:rFonts w:ascii="Times New Roman" w:eastAsia="Arial Unicode MS" w:hAnsi="Times New Roman" w:cs="Times New Roman"/>
          <w:color w:val="auto"/>
          <w:sz w:val="24"/>
          <w:szCs w:val="24"/>
        </w:rPr>
        <w:t xml:space="preserve">identifying as a member of a </w:t>
      </w:r>
      <w:r w:rsidR="000B6B07">
        <w:rPr>
          <w:rFonts w:ascii="Times New Roman" w:eastAsia="Arial Unicode MS" w:hAnsi="Times New Roman" w:cs="Times New Roman"/>
          <w:color w:val="auto"/>
          <w:sz w:val="24"/>
          <w:szCs w:val="24"/>
        </w:rPr>
        <w:t>historically disadvantaged</w:t>
      </w:r>
      <w:r>
        <w:rPr>
          <w:rFonts w:ascii="Times New Roman" w:eastAsia="Arial Unicode MS" w:hAnsi="Times New Roman" w:cs="Times New Roman"/>
          <w:color w:val="auto"/>
          <w:sz w:val="24"/>
          <w:szCs w:val="24"/>
        </w:rPr>
        <w:t xml:space="preserve"> group </w:t>
      </w:r>
      <w:r w:rsidR="00D977C3">
        <w:rPr>
          <w:rFonts w:ascii="Times New Roman" w:eastAsia="Arial Unicode MS" w:hAnsi="Times New Roman" w:cs="Times New Roman"/>
          <w:color w:val="auto"/>
          <w:sz w:val="24"/>
          <w:szCs w:val="24"/>
        </w:rPr>
        <w:t>(i.e., black, Hispanic,</w:t>
      </w:r>
      <w:r w:rsidR="003A7A36">
        <w:rPr>
          <w:rFonts w:ascii="Times New Roman" w:eastAsia="Arial Unicode MS" w:hAnsi="Times New Roman" w:cs="Times New Roman"/>
          <w:color w:val="auto"/>
          <w:sz w:val="24"/>
          <w:szCs w:val="24"/>
        </w:rPr>
        <w:t xml:space="preserve"> </w:t>
      </w:r>
      <w:r w:rsidR="00D977C3">
        <w:rPr>
          <w:rFonts w:ascii="Times New Roman" w:eastAsia="Arial Unicode MS" w:hAnsi="Times New Roman" w:cs="Times New Roman"/>
          <w:color w:val="auto"/>
          <w:sz w:val="24"/>
          <w:szCs w:val="24"/>
        </w:rPr>
        <w:t>and native American)</w:t>
      </w:r>
      <w:r w:rsidR="000B6B07">
        <w:rPr>
          <w:rFonts w:ascii="Times New Roman" w:eastAsia="Arial Unicode MS" w:hAnsi="Times New Roman" w:cs="Times New Roman"/>
          <w:color w:val="auto"/>
          <w:sz w:val="24"/>
          <w:szCs w:val="24"/>
        </w:rPr>
        <w:t xml:space="preserve">  that are underrepresented in STEM professions. They also find that despite the large number of students who enroll in at least one </w:t>
      </w:r>
      <w:r w:rsidR="005F7821">
        <w:rPr>
          <w:rFonts w:ascii="Times New Roman" w:eastAsia="Arial Unicode MS" w:hAnsi="Times New Roman" w:cs="Times New Roman"/>
          <w:color w:val="auto"/>
          <w:sz w:val="24"/>
          <w:szCs w:val="24"/>
        </w:rPr>
        <w:t>college-level</w:t>
      </w:r>
      <w:r w:rsidR="00D977C3">
        <w:rPr>
          <w:rFonts w:ascii="Times New Roman" w:eastAsia="Arial Unicode MS" w:hAnsi="Times New Roman" w:cs="Times New Roman"/>
          <w:color w:val="auto"/>
          <w:sz w:val="24"/>
          <w:szCs w:val="24"/>
        </w:rPr>
        <w:t xml:space="preserve"> </w:t>
      </w:r>
      <w:r w:rsidR="000B6B07">
        <w:rPr>
          <w:rFonts w:ascii="Times New Roman" w:eastAsia="Arial Unicode MS" w:hAnsi="Times New Roman" w:cs="Times New Roman"/>
          <w:color w:val="auto"/>
          <w:sz w:val="24"/>
          <w:szCs w:val="24"/>
        </w:rPr>
        <w:t xml:space="preserve">STEM course, many do not persist </w:t>
      </w:r>
      <w:r w:rsidR="00D977C3">
        <w:rPr>
          <w:rFonts w:ascii="Times New Roman" w:eastAsia="Arial Unicode MS" w:hAnsi="Times New Roman" w:cs="Times New Roman"/>
          <w:color w:val="auto"/>
          <w:sz w:val="24"/>
          <w:szCs w:val="24"/>
        </w:rPr>
        <w:t xml:space="preserve">further than </w:t>
      </w:r>
      <w:r w:rsidR="000B6B07">
        <w:rPr>
          <w:rFonts w:ascii="Times New Roman" w:eastAsia="Arial Unicode MS" w:hAnsi="Times New Roman" w:cs="Times New Roman"/>
          <w:color w:val="auto"/>
          <w:sz w:val="24"/>
          <w:szCs w:val="24"/>
        </w:rPr>
        <w:t xml:space="preserve">introductory STEM courses (e.g., college algebra, introductory physics).  Further, there are stark differences by entry point for men and women in STEM courses, which is especially evident in math where </w:t>
      </w:r>
      <w:r w:rsidR="00D977C3">
        <w:rPr>
          <w:rFonts w:ascii="Times New Roman" w:eastAsia="Arial Unicode MS" w:hAnsi="Times New Roman" w:cs="Times New Roman"/>
          <w:color w:val="auto"/>
          <w:sz w:val="24"/>
          <w:szCs w:val="24"/>
        </w:rPr>
        <w:t xml:space="preserve">women are overrepresented in introductory math courses like general education math, statistics and college algebra, but they are underrepresented among students whose first math course is trigonometry or above.  </w:t>
      </w:r>
      <w:r w:rsidR="000B6B07">
        <w:rPr>
          <w:rFonts w:ascii="Times New Roman" w:eastAsia="Arial Unicode MS" w:hAnsi="Times New Roman" w:cs="Times New Roman"/>
          <w:color w:val="auto"/>
          <w:sz w:val="24"/>
          <w:szCs w:val="24"/>
        </w:rPr>
        <w:t xml:space="preserve"> </w:t>
      </w:r>
      <w:r w:rsidR="00D977C3">
        <w:rPr>
          <w:rFonts w:ascii="Times New Roman" w:eastAsia="Arial Unicode MS" w:hAnsi="Times New Roman" w:cs="Times New Roman"/>
          <w:color w:val="auto"/>
          <w:sz w:val="24"/>
          <w:szCs w:val="24"/>
        </w:rPr>
        <w:t>Bahr et al</w:t>
      </w:r>
      <w:r>
        <w:rPr>
          <w:rFonts w:ascii="Times New Roman" w:eastAsia="Arial Unicode MS" w:hAnsi="Times New Roman" w:cs="Times New Roman"/>
          <w:color w:val="auto"/>
          <w:sz w:val="24"/>
          <w:szCs w:val="24"/>
        </w:rPr>
        <w:t>. (</w:t>
      </w:r>
      <w:r w:rsidR="00D977C3">
        <w:rPr>
          <w:rFonts w:ascii="Times New Roman" w:eastAsia="Arial Unicode MS" w:hAnsi="Times New Roman" w:cs="Times New Roman"/>
          <w:color w:val="auto"/>
          <w:sz w:val="24"/>
          <w:szCs w:val="24"/>
        </w:rPr>
        <w:t>2016) demonstrate</w:t>
      </w:r>
      <w:r w:rsidR="00536A97" w:rsidRPr="002B710B">
        <w:rPr>
          <w:rFonts w:ascii="Times New Roman" w:eastAsia="Arial Unicode MS" w:hAnsi="Times New Roman" w:cs="Times New Roman"/>
          <w:color w:val="auto"/>
          <w:sz w:val="24"/>
          <w:szCs w:val="24"/>
        </w:rPr>
        <w:t xml:space="preserve"> the unrealized potential of community colleges to produce future STEM professionals</w:t>
      </w:r>
      <w:r w:rsidR="00D977C3">
        <w:rPr>
          <w:rFonts w:ascii="Times New Roman" w:eastAsia="Arial Unicode MS" w:hAnsi="Times New Roman" w:cs="Times New Roman"/>
          <w:color w:val="auto"/>
          <w:sz w:val="24"/>
          <w:szCs w:val="24"/>
        </w:rPr>
        <w:t>, and present a strong case for the role of community colleges in addressing the STEM shortage.</w:t>
      </w:r>
    </w:p>
    <w:p w14:paraId="4BC1B048" w14:textId="77777777" w:rsidR="00F20991" w:rsidRPr="002B710B" w:rsidRDefault="00F20991" w:rsidP="002B710B">
      <w:pPr>
        <w:spacing w:after="0" w:line="480" w:lineRule="auto"/>
        <w:rPr>
          <w:rFonts w:ascii="Times New Roman" w:eastAsia="Arial Unicode MS" w:hAnsi="Times New Roman" w:cs="Times New Roman"/>
          <w:b/>
          <w:color w:val="auto"/>
          <w:sz w:val="24"/>
          <w:szCs w:val="24"/>
        </w:rPr>
      </w:pPr>
      <w:r w:rsidRPr="002B710B">
        <w:rPr>
          <w:rFonts w:ascii="Times New Roman" w:eastAsia="Arial Unicode MS" w:hAnsi="Times New Roman" w:cs="Times New Roman"/>
          <w:b/>
          <w:color w:val="auto"/>
          <w:sz w:val="24"/>
          <w:szCs w:val="24"/>
        </w:rPr>
        <w:t>Interdisciplinary Course-taking Pathways in Community Colleges</w:t>
      </w:r>
    </w:p>
    <w:p w14:paraId="609484A2" w14:textId="77777777" w:rsidR="004C7A8B" w:rsidRDefault="004C7A8B" w:rsidP="004C7A8B">
      <w:pPr>
        <w:pStyle w:val="Normal1"/>
        <w:spacing w:after="0" w:line="480" w:lineRule="auto"/>
        <w:ind w:firstLine="720"/>
        <w:contextualSpacing/>
        <w:rPr>
          <w:rFonts w:ascii="Times New Roman" w:eastAsia="Times New Roman" w:hAnsi="Times New Roman" w:cs="Times New Roman"/>
          <w:color w:val="auto"/>
          <w:sz w:val="24"/>
          <w:szCs w:val="24"/>
        </w:rPr>
      </w:pPr>
      <w:r w:rsidRPr="00113507">
        <w:rPr>
          <w:rFonts w:ascii="Times New Roman" w:eastAsia="Times New Roman" w:hAnsi="Times New Roman" w:cs="Times New Roman"/>
          <w:color w:val="auto"/>
          <w:sz w:val="24"/>
          <w:szCs w:val="24"/>
        </w:rPr>
        <w:t>The growing availability of student transcript data has made it possible for scholars and policymakers to directly examine how students actually engage with a specific curriculum.</w:t>
      </w:r>
      <w:r w:rsidRPr="002B710B">
        <w:rPr>
          <w:rFonts w:ascii="Times New Roman" w:eastAsia="Times New Roman" w:hAnsi="Times New Roman" w:cs="Times New Roman"/>
          <w:color w:val="auto"/>
          <w:sz w:val="24"/>
          <w:szCs w:val="24"/>
        </w:rPr>
        <w:t xml:space="preserve">  Studies of this sort often seek to discern when and in what order students actually take courses and the outcome of students’ course-taking pathways (Bahr et al., 2016).  Not surprisingly, community colleges students’ course-taking paths often differ from those prescribed by colleges and articulated in the curriculum (Wang, 2015).</w:t>
      </w:r>
      <w:r>
        <w:rPr>
          <w:rFonts w:ascii="Times New Roman" w:eastAsia="Times New Roman" w:hAnsi="Times New Roman" w:cs="Times New Roman"/>
          <w:color w:val="auto"/>
          <w:sz w:val="24"/>
          <w:szCs w:val="24"/>
        </w:rPr>
        <w:t xml:space="preserve"> </w:t>
      </w:r>
      <w:r w:rsidR="0028605A" w:rsidRPr="002B710B">
        <w:rPr>
          <w:rFonts w:ascii="Times New Roman" w:eastAsia="Arial Unicode MS" w:hAnsi="Times New Roman" w:cs="Times New Roman"/>
          <w:color w:val="auto"/>
          <w:sz w:val="24"/>
          <w:szCs w:val="24"/>
        </w:rPr>
        <w:t xml:space="preserve"> </w:t>
      </w:r>
      <w:commentRangeStart w:id="0"/>
      <w:r w:rsidR="0028605A" w:rsidRPr="002B710B">
        <w:rPr>
          <w:rFonts w:ascii="Times New Roman" w:eastAsia="Arial Unicode MS" w:hAnsi="Times New Roman" w:cs="Times New Roman"/>
          <w:color w:val="auto"/>
          <w:sz w:val="24"/>
          <w:szCs w:val="24"/>
        </w:rPr>
        <w:t xml:space="preserve"> </w:t>
      </w:r>
      <w:commentRangeEnd w:id="0"/>
      <w:r w:rsidR="00552C5A" w:rsidRPr="00552C5A">
        <w:rPr>
          <w:rStyle w:val="CommentReference"/>
          <w:rFonts w:ascii="Times New Roman" w:hAnsi="Times New Roman" w:cs="Times New Roman"/>
          <w:sz w:val="24"/>
          <w:szCs w:val="24"/>
        </w:rPr>
        <w:commentReference w:id="0"/>
      </w:r>
      <w:r>
        <w:rPr>
          <w:rFonts w:ascii="Times New Roman" w:eastAsia="Times New Roman" w:hAnsi="Times New Roman" w:cs="Times New Roman"/>
          <w:color w:val="auto"/>
          <w:sz w:val="24"/>
          <w:szCs w:val="24"/>
        </w:rPr>
        <w:t xml:space="preserve"> This is evident when reviewing the</w:t>
      </w:r>
      <w:r w:rsidR="00F20991" w:rsidRPr="002B710B">
        <w:rPr>
          <w:rFonts w:ascii="Times New Roman" w:eastAsia="Times New Roman" w:hAnsi="Times New Roman" w:cs="Times New Roman"/>
          <w:color w:val="auto"/>
          <w:sz w:val="24"/>
          <w:szCs w:val="24"/>
        </w:rPr>
        <w:t xml:space="preserve"> number of studies that have employed pathway analysis (e.g., Bahr et al., 2016; Bragg, 2012, </w:t>
      </w:r>
      <w:proofErr w:type="spellStart"/>
      <w:r w:rsidR="00F20991" w:rsidRPr="002B710B">
        <w:rPr>
          <w:rFonts w:ascii="Times New Roman" w:eastAsia="Times New Roman" w:hAnsi="Times New Roman" w:cs="Times New Roman"/>
          <w:color w:val="auto"/>
          <w:sz w:val="24"/>
          <w:szCs w:val="24"/>
        </w:rPr>
        <w:t>Haggedorn</w:t>
      </w:r>
      <w:proofErr w:type="spellEnd"/>
      <w:r w:rsidR="00F20991" w:rsidRPr="002B710B">
        <w:rPr>
          <w:rFonts w:ascii="Times New Roman" w:eastAsia="Times New Roman" w:hAnsi="Times New Roman" w:cs="Times New Roman"/>
          <w:color w:val="auto"/>
          <w:sz w:val="24"/>
          <w:szCs w:val="24"/>
        </w:rPr>
        <w:t xml:space="preserve"> et al., 2007)</w:t>
      </w:r>
      <w:r>
        <w:rPr>
          <w:rFonts w:ascii="Times New Roman" w:eastAsia="Times New Roman" w:hAnsi="Times New Roman" w:cs="Times New Roman"/>
          <w:color w:val="auto"/>
          <w:sz w:val="24"/>
          <w:szCs w:val="24"/>
        </w:rPr>
        <w:t>.  These studies have focused on</w:t>
      </w:r>
      <w:r w:rsidR="00F20991" w:rsidRPr="002B710B">
        <w:rPr>
          <w:rFonts w:ascii="Times New Roman" w:eastAsia="Times New Roman" w:hAnsi="Times New Roman" w:cs="Times New Roman"/>
          <w:color w:val="auto"/>
          <w:sz w:val="24"/>
          <w:szCs w:val="24"/>
        </w:rPr>
        <w:t xml:space="preserve"> advancement in STEM subjects</w:t>
      </w:r>
      <w:r>
        <w:rPr>
          <w:rFonts w:ascii="Times New Roman" w:eastAsia="Times New Roman" w:hAnsi="Times New Roman" w:cs="Times New Roman"/>
          <w:color w:val="auto"/>
          <w:sz w:val="24"/>
          <w:szCs w:val="24"/>
        </w:rPr>
        <w:t xml:space="preserve"> and</w:t>
      </w:r>
      <w:r w:rsidR="00F20991" w:rsidRPr="002B710B">
        <w:rPr>
          <w:rFonts w:ascii="Times New Roman" w:eastAsia="Times New Roman" w:hAnsi="Times New Roman" w:cs="Times New Roman"/>
          <w:color w:val="auto"/>
          <w:sz w:val="24"/>
          <w:szCs w:val="24"/>
        </w:rPr>
        <w:t xml:space="preserve"> have </w:t>
      </w:r>
      <w:r>
        <w:rPr>
          <w:rFonts w:ascii="Times New Roman" w:eastAsia="Times New Roman" w:hAnsi="Times New Roman" w:cs="Times New Roman"/>
          <w:color w:val="auto"/>
          <w:sz w:val="24"/>
          <w:szCs w:val="24"/>
        </w:rPr>
        <w:t>identified</w:t>
      </w:r>
      <w:r w:rsidR="00F20991" w:rsidRPr="002B710B">
        <w:rPr>
          <w:rFonts w:ascii="Times New Roman" w:eastAsia="Times New Roman" w:hAnsi="Times New Roman" w:cs="Times New Roman"/>
          <w:color w:val="auto"/>
          <w:sz w:val="24"/>
          <w:szCs w:val="24"/>
        </w:rPr>
        <w:t xml:space="preserve"> attrition points (Bahr, 2016; Wang, 2015). </w:t>
      </w:r>
    </w:p>
    <w:p w14:paraId="3CB129D2" w14:textId="77777777" w:rsidR="00F20991" w:rsidRPr="004C7A8B" w:rsidRDefault="00F20991" w:rsidP="004C7A8B">
      <w:pPr>
        <w:pStyle w:val="Normal1"/>
        <w:spacing w:after="0" w:line="480" w:lineRule="auto"/>
        <w:ind w:firstLine="720"/>
        <w:contextualSpacing/>
        <w:rPr>
          <w:rFonts w:ascii="Times New Roman" w:eastAsia="Arial Unicode MS" w:hAnsi="Times New Roman" w:cs="Times New Roman"/>
          <w:color w:val="auto"/>
          <w:sz w:val="24"/>
          <w:szCs w:val="24"/>
        </w:rPr>
      </w:pPr>
      <w:r w:rsidRPr="002B710B">
        <w:rPr>
          <w:rFonts w:ascii="Times New Roman" w:eastAsia="Times New Roman" w:hAnsi="Times New Roman" w:cs="Times New Roman"/>
          <w:color w:val="auto"/>
          <w:sz w:val="24"/>
          <w:szCs w:val="24"/>
        </w:rPr>
        <w:lastRenderedPageBreak/>
        <w:t>For example, Wang (2015) found that while starting at community college decreased a student’s likelihood of obtaining a STEM baccalaureate degree; for some students, taking certain STEM courses (e.g., math courses) in community colleges actually increased their likelihood of advancing to a STEM degree.</w:t>
      </w:r>
      <w:r w:rsidR="002F2DF1" w:rsidRPr="002B710B">
        <w:rPr>
          <w:rFonts w:ascii="Times New Roman" w:eastAsia="Times New Roman" w:hAnsi="Times New Roman" w:cs="Times New Roman"/>
          <w:color w:val="auto"/>
          <w:sz w:val="24"/>
          <w:szCs w:val="24"/>
        </w:rPr>
        <w:t xml:space="preserve"> </w:t>
      </w:r>
      <w:r w:rsidRPr="002B710B">
        <w:rPr>
          <w:rFonts w:ascii="Times New Roman" w:eastAsia="Times New Roman" w:hAnsi="Times New Roman" w:cs="Times New Roman"/>
          <w:color w:val="auto"/>
          <w:sz w:val="24"/>
          <w:szCs w:val="24"/>
        </w:rPr>
        <w:t xml:space="preserve"> Bahr et al. (2016) presented multiple pathway analyses by select demographic characteristics and found that attrition points and course-taking behavior differed </w:t>
      </w:r>
      <w:r w:rsidR="001F5B08" w:rsidRPr="002B710B">
        <w:rPr>
          <w:rFonts w:ascii="Times New Roman" w:eastAsia="Times New Roman" w:hAnsi="Times New Roman" w:cs="Times New Roman"/>
          <w:color w:val="auto"/>
          <w:sz w:val="24"/>
          <w:szCs w:val="24"/>
        </w:rPr>
        <w:t>substantially</w:t>
      </w:r>
      <w:r w:rsidRPr="002B710B">
        <w:rPr>
          <w:rFonts w:ascii="Times New Roman" w:eastAsia="Times New Roman" w:hAnsi="Times New Roman" w:cs="Times New Roman"/>
          <w:color w:val="auto"/>
          <w:sz w:val="24"/>
          <w:szCs w:val="24"/>
        </w:rPr>
        <w:t xml:space="preserve"> by sex and race, with women and historically disadvantaged groups </w:t>
      </w:r>
      <w:r w:rsidR="00BF72AC" w:rsidRPr="002B710B">
        <w:rPr>
          <w:rFonts w:ascii="Times New Roman" w:eastAsia="Times New Roman" w:hAnsi="Times New Roman" w:cs="Times New Roman"/>
          <w:color w:val="auto"/>
          <w:sz w:val="24"/>
          <w:szCs w:val="24"/>
        </w:rPr>
        <w:t xml:space="preserve">starting at introductory courses </w:t>
      </w:r>
      <w:r w:rsidR="002F2DF1" w:rsidRPr="002B710B">
        <w:rPr>
          <w:rFonts w:ascii="Times New Roman" w:eastAsia="Times New Roman" w:hAnsi="Times New Roman" w:cs="Times New Roman"/>
          <w:color w:val="auto"/>
          <w:sz w:val="24"/>
          <w:szCs w:val="24"/>
        </w:rPr>
        <w:t xml:space="preserve">(as opposed to more advanced courses, based on previous academic preparation) </w:t>
      </w:r>
      <w:r w:rsidR="00BF72AC" w:rsidRPr="002B710B">
        <w:rPr>
          <w:rFonts w:ascii="Times New Roman" w:eastAsia="Times New Roman" w:hAnsi="Times New Roman" w:cs="Times New Roman"/>
          <w:color w:val="auto"/>
          <w:sz w:val="24"/>
          <w:szCs w:val="24"/>
        </w:rPr>
        <w:t xml:space="preserve">at much higher rates than their male and historically advantaged counterparts.  In turn, starting in more introductory courses (college algebra and introductory physics) was associated with lower rates of progression to more advanced STEM coursework (e.g., calculus and physics for scientists and engineers). </w:t>
      </w:r>
    </w:p>
    <w:p w14:paraId="739E3780" w14:textId="77777777" w:rsidR="009C39FD" w:rsidRDefault="00BF72AC">
      <w:pPr>
        <w:pStyle w:val="Normal1"/>
        <w:spacing w:after="0" w:line="480" w:lineRule="auto"/>
        <w:ind w:firstLine="720"/>
        <w:contextualSpacing/>
        <w:rPr>
          <w:rFonts w:ascii="Times New Roman" w:eastAsia="Times New Roman" w:hAnsi="Times New Roman" w:cs="Times New Roman"/>
          <w:color w:val="auto"/>
          <w:sz w:val="24"/>
          <w:szCs w:val="24"/>
        </w:rPr>
      </w:pPr>
      <w:r w:rsidRPr="002B710B">
        <w:rPr>
          <w:rFonts w:ascii="Times New Roman" w:eastAsia="Arial Unicode MS" w:hAnsi="Times New Roman" w:cs="Times New Roman"/>
          <w:color w:val="auto"/>
          <w:sz w:val="24"/>
          <w:szCs w:val="24"/>
        </w:rPr>
        <w:t xml:space="preserve">While research that utilizes pathway analysis has advanced our understanding of the STEM pipeline, </w:t>
      </w:r>
      <w:r w:rsidRPr="002B710B">
        <w:rPr>
          <w:rFonts w:ascii="Times New Roman" w:eastAsia="Times New Roman" w:hAnsi="Times New Roman" w:cs="Times New Roman"/>
          <w:color w:val="auto"/>
          <w:sz w:val="24"/>
          <w:szCs w:val="24"/>
        </w:rPr>
        <w:t>the majority of these studies are focused on specific isolated courses (e.g., calculus, general chemistry) or subjects (e.g., math, physics, chemistry).  For example, Bahr and colleagues (2016) identified student course-taking sequences in specific subjects (i.e., math, physics, and chemistry).   Similarly, Wang (2015) analyzed course-taking patterns in individual STEM courses and their relationship to transfer rates within STEM subject</w:t>
      </w:r>
      <w:r w:rsidR="002F2DF1" w:rsidRPr="002B710B">
        <w:rPr>
          <w:rFonts w:ascii="Times New Roman" w:eastAsia="Times New Roman" w:hAnsi="Times New Roman" w:cs="Times New Roman"/>
          <w:color w:val="auto"/>
          <w:sz w:val="24"/>
          <w:szCs w:val="24"/>
        </w:rPr>
        <w:t>s</w:t>
      </w:r>
      <w:r w:rsidRPr="002B710B">
        <w:rPr>
          <w:rFonts w:ascii="Times New Roman" w:eastAsia="Times New Roman" w:hAnsi="Times New Roman" w:cs="Times New Roman"/>
          <w:color w:val="auto"/>
          <w:sz w:val="24"/>
          <w:szCs w:val="24"/>
        </w:rPr>
        <w:t>, utilizing a theory of STEM momentum.  In both cases, the researchers focused on STEM subjects and courses in isolation from one another, setting aside the interdisciplinary nature of STEM education.</w:t>
      </w:r>
    </w:p>
    <w:p w14:paraId="17C41E04" w14:textId="77777777" w:rsidR="004256A1" w:rsidRDefault="00BF72AC" w:rsidP="00113507">
      <w:pPr>
        <w:pStyle w:val="Normal1"/>
        <w:spacing w:after="0" w:line="480" w:lineRule="auto"/>
        <w:ind w:firstLine="720"/>
        <w:rPr>
          <w:rFonts w:ascii="Times New Roman" w:eastAsia="Times New Roman" w:hAnsi="Times New Roman" w:cs="Times New Roman"/>
          <w:color w:val="auto"/>
          <w:sz w:val="24"/>
          <w:szCs w:val="24"/>
        </w:rPr>
      </w:pPr>
      <w:r w:rsidRPr="002B710B">
        <w:rPr>
          <w:rFonts w:ascii="Times New Roman" w:eastAsia="Times New Roman" w:hAnsi="Times New Roman" w:cs="Times New Roman"/>
          <w:color w:val="auto"/>
          <w:sz w:val="24"/>
          <w:szCs w:val="24"/>
        </w:rPr>
        <w:t>In contrast, other scholars have taken a more interdisciplinary approach by focusing on STEM majors</w:t>
      </w:r>
      <w:r w:rsidR="00362982" w:rsidRPr="002B710B">
        <w:rPr>
          <w:rFonts w:ascii="Times New Roman" w:eastAsia="Times New Roman" w:hAnsi="Times New Roman" w:cs="Times New Roman"/>
          <w:color w:val="auto"/>
          <w:sz w:val="24"/>
          <w:szCs w:val="24"/>
        </w:rPr>
        <w:t>,</w:t>
      </w:r>
      <w:r w:rsidR="001F5B08" w:rsidRPr="002B710B">
        <w:rPr>
          <w:rFonts w:ascii="Times New Roman" w:eastAsia="Times New Roman" w:hAnsi="Times New Roman" w:cs="Times New Roman"/>
          <w:color w:val="auto"/>
          <w:sz w:val="24"/>
          <w:szCs w:val="24"/>
        </w:rPr>
        <w:t xml:space="preserve"> </w:t>
      </w:r>
      <w:r w:rsidRPr="002B710B">
        <w:rPr>
          <w:rFonts w:ascii="Times New Roman" w:eastAsia="Times New Roman" w:hAnsi="Times New Roman" w:cs="Times New Roman"/>
          <w:color w:val="auto"/>
          <w:sz w:val="24"/>
          <w:szCs w:val="24"/>
        </w:rPr>
        <w:t xml:space="preserve">but have not been able to provide an analysis of student course-taking pathways.  For example, </w:t>
      </w:r>
      <w:proofErr w:type="spellStart"/>
      <w:r w:rsidRPr="002B710B">
        <w:rPr>
          <w:rFonts w:ascii="Times New Roman" w:eastAsia="Times New Roman" w:hAnsi="Times New Roman" w:cs="Times New Roman"/>
          <w:color w:val="auto"/>
          <w:sz w:val="24"/>
          <w:szCs w:val="24"/>
        </w:rPr>
        <w:t>Riegle</w:t>
      </w:r>
      <w:proofErr w:type="spellEnd"/>
      <w:r w:rsidRPr="002B710B">
        <w:rPr>
          <w:rFonts w:ascii="Times New Roman" w:eastAsia="Times New Roman" w:hAnsi="Times New Roman" w:cs="Times New Roman"/>
          <w:color w:val="auto"/>
          <w:sz w:val="24"/>
          <w:szCs w:val="24"/>
        </w:rPr>
        <w:t xml:space="preserve">-Crumb and King (2010) focused </w:t>
      </w:r>
      <w:r w:rsidR="00B458BA" w:rsidRPr="002B710B">
        <w:rPr>
          <w:rFonts w:ascii="Times New Roman" w:eastAsia="Times New Roman" w:hAnsi="Times New Roman" w:cs="Times New Roman"/>
          <w:color w:val="auto"/>
          <w:sz w:val="24"/>
          <w:szCs w:val="24"/>
        </w:rPr>
        <w:t>on physical</w:t>
      </w:r>
      <w:r w:rsidRPr="002B710B">
        <w:rPr>
          <w:rFonts w:ascii="Times New Roman" w:eastAsia="Times New Roman" w:hAnsi="Times New Roman" w:cs="Times New Roman"/>
          <w:color w:val="auto"/>
          <w:sz w:val="24"/>
          <w:szCs w:val="24"/>
        </w:rPr>
        <w:t xml:space="preserve"> science and engineering majors</w:t>
      </w:r>
      <w:r w:rsidR="001F5B08" w:rsidRPr="002B710B">
        <w:rPr>
          <w:rFonts w:ascii="Times New Roman" w:eastAsia="Times New Roman" w:hAnsi="Times New Roman" w:cs="Times New Roman"/>
          <w:color w:val="auto"/>
          <w:sz w:val="24"/>
          <w:szCs w:val="24"/>
        </w:rPr>
        <w:t xml:space="preserve"> </w:t>
      </w:r>
      <w:r w:rsidR="00B458BA" w:rsidRPr="002B710B">
        <w:rPr>
          <w:rFonts w:ascii="Times New Roman" w:eastAsia="Times New Roman" w:hAnsi="Times New Roman" w:cs="Times New Roman"/>
          <w:color w:val="auto"/>
          <w:sz w:val="24"/>
          <w:szCs w:val="24"/>
        </w:rPr>
        <w:t>and found</w:t>
      </w:r>
      <w:r w:rsidRPr="002B710B">
        <w:rPr>
          <w:rFonts w:ascii="Times New Roman" w:eastAsia="Times New Roman" w:hAnsi="Times New Roman" w:cs="Times New Roman"/>
          <w:color w:val="auto"/>
          <w:sz w:val="24"/>
          <w:szCs w:val="24"/>
        </w:rPr>
        <w:t xml:space="preserve"> significant gender and racial disparities. </w:t>
      </w:r>
      <w:r w:rsidR="0041556F" w:rsidRPr="002B710B">
        <w:rPr>
          <w:rFonts w:ascii="Times New Roman" w:eastAsia="Times New Roman" w:hAnsi="Times New Roman" w:cs="Times New Roman"/>
          <w:color w:val="auto"/>
          <w:sz w:val="24"/>
          <w:szCs w:val="24"/>
        </w:rPr>
        <w:t xml:space="preserve"> </w:t>
      </w:r>
      <w:r w:rsidRPr="002B710B">
        <w:rPr>
          <w:rFonts w:ascii="Times New Roman" w:eastAsia="Times New Roman" w:hAnsi="Times New Roman" w:cs="Times New Roman"/>
          <w:color w:val="auto"/>
          <w:sz w:val="24"/>
          <w:szCs w:val="24"/>
        </w:rPr>
        <w:t xml:space="preserve">Further, </w:t>
      </w:r>
      <w:proofErr w:type="spellStart"/>
      <w:r w:rsidRPr="002B710B">
        <w:rPr>
          <w:rFonts w:ascii="Times New Roman" w:eastAsia="Times New Roman" w:hAnsi="Times New Roman" w:cs="Times New Roman"/>
          <w:color w:val="auto"/>
          <w:sz w:val="24"/>
          <w:szCs w:val="24"/>
        </w:rPr>
        <w:t>Pejcinovic</w:t>
      </w:r>
      <w:proofErr w:type="spellEnd"/>
      <w:r w:rsidRPr="002B710B">
        <w:rPr>
          <w:rFonts w:ascii="Times New Roman" w:eastAsia="Times New Roman" w:hAnsi="Times New Roman" w:cs="Times New Roman"/>
          <w:color w:val="auto"/>
          <w:sz w:val="24"/>
          <w:szCs w:val="24"/>
        </w:rPr>
        <w:t xml:space="preserve">, et al. (2015) </w:t>
      </w:r>
      <w:r w:rsidRPr="002B710B">
        <w:rPr>
          <w:rFonts w:ascii="Times New Roman" w:eastAsia="Times New Roman" w:hAnsi="Times New Roman" w:cs="Times New Roman"/>
          <w:color w:val="auto"/>
          <w:sz w:val="24"/>
          <w:szCs w:val="24"/>
        </w:rPr>
        <w:lastRenderedPageBreak/>
        <w:t>studied only the freshman year course performance in engine</w:t>
      </w:r>
      <w:r w:rsidR="00C43210" w:rsidRPr="002B710B">
        <w:rPr>
          <w:rFonts w:ascii="Times New Roman" w:eastAsia="Times New Roman" w:hAnsi="Times New Roman" w:cs="Times New Roman"/>
          <w:color w:val="auto"/>
          <w:sz w:val="24"/>
          <w:szCs w:val="24"/>
        </w:rPr>
        <w:t>ering courses as it relate</w:t>
      </w:r>
      <w:r w:rsidR="00362982" w:rsidRPr="002B710B">
        <w:rPr>
          <w:rFonts w:ascii="Times New Roman" w:eastAsia="Times New Roman" w:hAnsi="Times New Roman" w:cs="Times New Roman"/>
          <w:color w:val="auto"/>
          <w:sz w:val="24"/>
          <w:szCs w:val="24"/>
        </w:rPr>
        <w:t>s</w:t>
      </w:r>
      <w:r w:rsidR="00C43210" w:rsidRPr="002B710B">
        <w:rPr>
          <w:rFonts w:ascii="Times New Roman" w:eastAsia="Times New Roman" w:hAnsi="Times New Roman" w:cs="Times New Roman"/>
          <w:color w:val="auto"/>
          <w:sz w:val="24"/>
          <w:szCs w:val="24"/>
        </w:rPr>
        <w:t xml:space="preserve"> to </w:t>
      </w:r>
      <w:r w:rsidRPr="002B710B">
        <w:rPr>
          <w:rFonts w:ascii="Times New Roman" w:eastAsia="Times New Roman" w:hAnsi="Times New Roman" w:cs="Times New Roman"/>
          <w:color w:val="auto"/>
          <w:sz w:val="24"/>
          <w:szCs w:val="24"/>
        </w:rPr>
        <w:t>the students</w:t>
      </w:r>
      <w:r w:rsidR="00362982" w:rsidRPr="002B710B">
        <w:rPr>
          <w:rFonts w:ascii="Times New Roman" w:eastAsia="Times New Roman" w:hAnsi="Times New Roman" w:cs="Times New Roman"/>
          <w:color w:val="auto"/>
          <w:sz w:val="24"/>
          <w:szCs w:val="24"/>
        </w:rPr>
        <w:t>’</w:t>
      </w:r>
      <w:r w:rsidRPr="002B710B">
        <w:rPr>
          <w:rFonts w:ascii="Times New Roman" w:eastAsia="Times New Roman" w:hAnsi="Times New Roman" w:cs="Times New Roman"/>
          <w:color w:val="auto"/>
          <w:sz w:val="24"/>
          <w:szCs w:val="24"/>
        </w:rPr>
        <w:t xml:space="preserve"> background in mathematics where they found that greater mathematics preparation was associated with higher levels of course success. </w:t>
      </w:r>
      <w:r w:rsidR="0041556F" w:rsidRPr="002B710B">
        <w:rPr>
          <w:rFonts w:ascii="Times New Roman" w:eastAsia="Times New Roman" w:hAnsi="Times New Roman" w:cs="Times New Roman"/>
          <w:color w:val="auto"/>
          <w:sz w:val="24"/>
          <w:szCs w:val="24"/>
        </w:rPr>
        <w:t xml:space="preserve"> </w:t>
      </w:r>
    </w:p>
    <w:p w14:paraId="59C04450" w14:textId="77777777" w:rsidR="004256A1" w:rsidRDefault="00BF72AC" w:rsidP="004256A1">
      <w:pPr>
        <w:pStyle w:val="Normal1"/>
        <w:spacing w:after="0" w:line="480" w:lineRule="auto"/>
        <w:ind w:firstLine="720"/>
        <w:rPr>
          <w:rFonts w:ascii="Times New Roman" w:eastAsia="Times New Roman" w:hAnsi="Times New Roman" w:cs="Times New Roman"/>
          <w:color w:val="auto"/>
          <w:sz w:val="24"/>
          <w:szCs w:val="24"/>
        </w:rPr>
      </w:pPr>
      <w:r w:rsidRPr="002B710B">
        <w:rPr>
          <w:rFonts w:ascii="Times New Roman" w:eastAsia="Times New Roman" w:hAnsi="Times New Roman" w:cs="Times New Roman"/>
          <w:color w:val="auto"/>
          <w:sz w:val="24"/>
          <w:szCs w:val="24"/>
        </w:rPr>
        <w:t>The closest approach to analyzing interdisciplinary course-taking was conducted by Nam, et al. (2014), who investigated engineering students</w:t>
      </w:r>
      <w:r w:rsidR="00362982" w:rsidRPr="002B710B">
        <w:rPr>
          <w:rFonts w:ascii="Times New Roman" w:eastAsia="Times New Roman" w:hAnsi="Times New Roman" w:cs="Times New Roman"/>
          <w:color w:val="auto"/>
          <w:sz w:val="24"/>
          <w:szCs w:val="24"/>
        </w:rPr>
        <w:t>’</w:t>
      </w:r>
      <w:r w:rsidRPr="002B710B">
        <w:rPr>
          <w:rFonts w:ascii="Times New Roman" w:eastAsia="Times New Roman" w:hAnsi="Times New Roman" w:cs="Times New Roman"/>
          <w:color w:val="auto"/>
          <w:sz w:val="24"/>
          <w:szCs w:val="24"/>
        </w:rPr>
        <w:t xml:space="preserve"> profiles</w:t>
      </w:r>
      <w:r w:rsidR="001F5B08" w:rsidRPr="002B710B">
        <w:rPr>
          <w:rFonts w:ascii="Times New Roman" w:eastAsia="Times New Roman" w:hAnsi="Times New Roman" w:cs="Times New Roman"/>
          <w:color w:val="auto"/>
          <w:sz w:val="24"/>
          <w:szCs w:val="24"/>
        </w:rPr>
        <w:t xml:space="preserve"> (e.g., SAT math or ACT math scores) </w:t>
      </w:r>
      <w:r w:rsidRPr="002B710B">
        <w:rPr>
          <w:rFonts w:ascii="Times New Roman" w:eastAsia="Times New Roman" w:hAnsi="Times New Roman" w:cs="Times New Roman"/>
          <w:color w:val="auto"/>
          <w:sz w:val="24"/>
          <w:szCs w:val="24"/>
        </w:rPr>
        <w:t xml:space="preserve">and </w:t>
      </w:r>
      <w:r w:rsidR="001F5B08" w:rsidRPr="002B710B">
        <w:rPr>
          <w:rFonts w:ascii="Times New Roman" w:eastAsia="Times New Roman" w:hAnsi="Times New Roman" w:cs="Times New Roman"/>
          <w:color w:val="auto"/>
          <w:sz w:val="24"/>
          <w:szCs w:val="24"/>
        </w:rPr>
        <w:t xml:space="preserve">first semester </w:t>
      </w:r>
      <w:r w:rsidRPr="002B710B">
        <w:rPr>
          <w:rFonts w:ascii="Times New Roman" w:eastAsia="Times New Roman" w:hAnsi="Times New Roman" w:cs="Times New Roman"/>
          <w:color w:val="auto"/>
          <w:sz w:val="24"/>
          <w:szCs w:val="24"/>
        </w:rPr>
        <w:t xml:space="preserve">course-taking patterns in order to understand factors that predict student success. </w:t>
      </w:r>
      <w:r w:rsidR="00362982" w:rsidRPr="002B710B">
        <w:rPr>
          <w:rFonts w:ascii="Times New Roman" w:eastAsia="Times New Roman" w:hAnsi="Times New Roman" w:cs="Times New Roman"/>
          <w:color w:val="auto"/>
          <w:sz w:val="24"/>
          <w:szCs w:val="24"/>
        </w:rPr>
        <w:t xml:space="preserve"> </w:t>
      </w:r>
      <w:r w:rsidRPr="002B710B">
        <w:rPr>
          <w:rFonts w:ascii="Times New Roman" w:eastAsia="Times New Roman" w:hAnsi="Times New Roman" w:cs="Times New Roman"/>
          <w:color w:val="auto"/>
          <w:sz w:val="24"/>
          <w:szCs w:val="24"/>
        </w:rPr>
        <w:t xml:space="preserve">However, this study did not take </w:t>
      </w:r>
      <w:r w:rsidR="001F5B08" w:rsidRPr="002B710B">
        <w:rPr>
          <w:rFonts w:ascii="Times New Roman" w:eastAsia="Times New Roman" w:hAnsi="Times New Roman" w:cs="Times New Roman"/>
          <w:color w:val="auto"/>
          <w:sz w:val="24"/>
          <w:szCs w:val="24"/>
        </w:rPr>
        <w:t xml:space="preserve">a pathway approach, as they focused on only one semester and did not seek to understand the </w:t>
      </w:r>
      <w:r w:rsidRPr="002B710B">
        <w:rPr>
          <w:rFonts w:ascii="Times New Roman" w:eastAsia="Times New Roman" w:hAnsi="Times New Roman" w:cs="Times New Roman"/>
          <w:color w:val="auto"/>
          <w:sz w:val="24"/>
          <w:szCs w:val="24"/>
        </w:rPr>
        <w:t xml:space="preserve">relationship </w:t>
      </w:r>
      <w:r w:rsidR="001F5B08" w:rsidRPr="002B710B">
        <w:rPr>
          <w:rFonts w:ascii="Times New Roman" w:eastAsia="Times New Roman" w:hAnsi="Times New Roman" w:cs="Times New Roman"/>
          <w:color w:val="auto"/>
          <w:sz w:val="24"/>
          <w:szCs w:val="24"/>
        </w:rPr>
        <w:t>of starting point with completion</w:t>
      </w:r>
      <w:r w:rsidRPr="002B710B">
        <w:rPr>
          <w:rFonts w:ascii="Times New Roman" w:eastAsia="Times New Roman" w:hAnsi="Times New Roman" w:cs="Times New Roman"/>
          <w:color w:val="auto"/>
          <w:sz w:val="24"/>
          <w:szCs w:val="24"/>
        </w:rPr>
        <w:t xml:space="preserve">.  </w:t>
      </w:r>
    </w:p>
    <w:p w14:paraId="40098821" w14:textId="77777777" w:rsidR="00BF72AC" w:rsidRPr="002B710B" w:rsidRDefault="004256A1" w:rsidP="004256A1">
      <w:pPr>
        <w:pStyle w:val="Normal1"/>
        <w:spacing w:after="0" w:line="480" w:lineRule="auto"/>
        <w:ind w:firstLine="720"/>
        <w:rPr>
          <w:rFonts w:ascii="Times New Roman" w:eastAsia="Times New Roman" w:hAnsi="Times New Roman" w:cs="Times New Roman"/>
          <w:color w:val="auto"/>
          <w:sz w:val="24"/>
          <w:szCs w:val="24"/>
        </w:rPr>
      </w:pPr>
      <w:r w:rsidRPr="004256A1">
        <w:rPr>
          <w:rFonts w:ascii="Times New Roman" w:eastAsia="Times New Roman" w:hAnsi="Times New Roman" w:cs="Times New Roman"/>
          <w:color w:val="auto"/>
          <w:sz w:val="24"/>
          <w:szCs w:val="24"/>
        </w:rPr>
        <w:t>Despite the significant advancements, we are still left with many important questions as to how community colleges students engage with and progress through (or fail to progress through) the STEM curriculum. </w:t>
      </w:r>
      <w:r>
        <w:rPr>
          <w:rFonts w:ascii="Times New Roman" w:eastAsia="Times New Roman" w:hAnsi="Times New Roman" w:cs="Times New Roman"/>
          <w:color w:val="auto"/>
          <w:sz w:val="24"/>
          <w:szCs w:val="24"/>
        </w:rPr>
        <w:t>Specifically, by</w:t>
      </w:r>
      <w:r w:rsidR="00BF72AC" w:rsidRPr="002B710B">
        <w:rPr>
          <w:rFonts w:ascii="Times New Roman" w:eastAsia="Times New Roman" w:hAnsi="Times New Roman" w:cs="Times New Roman"/>
          <w:color w:val="auto"/>
          <w:sz w:val="24"/>
          <w:szCs w:val="24"/>
        </w:rPr>
        <w:t xml:space="preserve"> isolating </w:t>
      </w:r>
      <w:r w:rsidR="00731CAB">
        <w:rPr>
          <w:rFonts w:ascii="Times New Roman" w:eastAsia="Times New Roman" w:hAnsi="Times New Roman" w:cs="Times New Roman"/>
          <w:color w:val="auto"/>
          <w:sz w:val="24"/>
          <w:szCs w:val="24"/>
        </w:rPr>
        <w:t>STEM courses or</w:t>
      </w:r>
      <w:r>
        <w:rPr>
          <w:rFonts w:ascii="Times New Roman" w:eastAsia="Times New Roman" w:hAnsi="Times New Roman" w:cs="Times New Roman"/>
          <w:color w:val="auto"/>
          <w:sz w:val="24"/>
          <w:szCs w:val="24"/>
        </w:rPr>
        <w:t xml:space="preserve"> </w:t>
      </w:r>
      <w:r w:rsidR="00BF72AC" w:rsidRPr="002B710B">
        <w:rPr>
          <w:rFonts w:ascii="Times New Roman" w:eastAsia="Times New Roman" w:hAnsi="Times New Roman" w:cs="Times New Roman"/>
          <w:color w:val="auto"/>
          <w:sz w:val="24"/>
          <w:szCs w:val="24"/>
        </w:rPr>
        <w:t>subjects</w:t>
      </w:r>
      <w:r>
        <w:rPr>
          <w:rFonts w:ascii="Times New Roman" w:eastAsia="Times New Roman" w:hAnsi="Times New Roman" w:cs="Times New Roman"/>
          <w:color w:val="auto"/>
          <w:sz w:val="24"/>
          <w:szCs w:val="24"/>
        </w:rPr>
        <w:t xml:space="preserve"> from other STEM courses or subjects (i.e.,</w:t>
      </w:r>
      <w:r w:rsidR="00BF72AC" w:rsidRPr="002B710B">
        <w:rPr>
          <w:rFonts w:ascii="Times New Roman" w:eastAsia="Times New Roman" w:hAnsi="Times New Roman" w:cs="Times New Roman"/>
          <w:color w:val="auto"/>
          <w:sz w:val="24"/>
          <w:szCs w:val="24"/>
        </w:rPr>
        <w:t xml:space="preserve"> not viewing these subjects as part of an interdisciplinary STEM program</w:t>
      </w:r>
      <w:r>
        <w:rPr>
          <w:rFonts w:ascii="Times New Roman" w:eastAsia="Times New Roman" w:hAnsi="Times New Roman" w:cs="Times New Roman"/>
          <w:color w:val="auto"/>
          <w:sz w:val="24"/>
          <w:szCs w:val="24"/>
        </w:rPr>
        <w:t>)</w:t>
      </w:r>
      <w:proofErr w:type="gramStart"/>
      <w:r>
        <w:rPr>
          <w:rFonts w:ascii="Times New Roman" w:eastAsia="Times New Roman" w:hAnsi="Times New Roman" w:cs="Times New Roman"/>
          <w:color w:val="auto"/>
          <w:sz w:val="24"/>
          <w:szCs w:val="24"/>
        </w:rPr>
        <w:t xml:space="preserve">, </w:t>
      </w:r>
      <w:r w:rsidR="00BF72AC" w:rsidRPr="002B710B">
        <w:rPr>
          <w:rFonts w:ascii="Times New Roman" w:eastAsia="Times New Roman" w:hAnsi="Times New Roman" w:cs="Times New Roman"/>
          <w:color w:val="auto"/>
          <w:sz w:val="24"/>
          <w:szCs w:val="24"/>
        </w:rPr>
        <w:t xml:space="preserve"> researchers</w:t>
      </w:r>
      <w:proofErr w:type="gramEnd"/>
      <w:r w:rsidR="00BF72AC" w:rsidRPr="002B710B">
        <w:rPr>
          <w:rFonts w:ascii="Times New Roman" w:eastAsia="Times New Roman" w:hAnsi="Times New Roman" w:cs="Times New Roman"/>
          <w:color w:val="auto"/>
          <w:sz w:val="24"/>
          <w:szCs w:val="24"/>
        </w:rPr>
        <w:t xml:space="preserve"> may be missing crucial information on how students engage with the inherently interdisciplinary curriculum of STEM fields. </w:t>
      </w:r>
    </w:p>
    <w:p w14:paraId="48B83660" w14:textId="77777777" w:rsidR="005011F7" w:rsidRPr="00113507" w:rsidRDefault="005011F7" w:rsidP="00113507">
      <w:pPr>
        <w:pStyle w:val="Normal1"/>
        <w:spacing w:after="0" w:line="480" w:lineRule="auto"/>
        <w:rPr>
          <w:rFonts w:ascii="Times New Roman" w:eastAsia="Times New Roman" w:hAnsi="Times New Roman" w:cs="Times New Roman"/>
          <w:b/>
          <w:color w:val="auto"/>
          <w:sz w:val="24"/>
          <w:szCs w:val="24"/>
        </w:rPr>
      </w:pPr>
      <w:r w:rsidRPr="002B710B">
        <w:rPr>
          <w:rFonts w:ascii="Times New Roman" w:eastAsia="Times New Roman" w:hAnsi="Times New Roman" w:cs="Times New Roman"/>
          <w:b/>
          <w:color w:val="auto"/>
          <w:sz w:val="24"/>
          <w:szCs w:val="24"/>
        </w:rPr>
        <w:t xml:space="preserve">Purpose of </w:t>
      </w:r>
      <w:r w:rsidR="00B04500" w:rsidRPr="002B710B">
        <w:rPr>
          <w:rFonts w:ascii="Times New Roman" w:eastAsia="Times New Roman" w:hAnsi="Times New Roman" w:cs="Times New Roman"/>
          <w:b/>
          <w:color w:val="auto"/>
          <w:sz w:val="24"/>
          <w:szCs w:val="24"/>
        </w:rPr>
        <w:t xml:space="preserve">the </w:t>
      </w:r>
      <w:r w:rsidRPr="002B710B">
        <w:rPr>
          <w:rFonts w:ascii="Times New Roman" w:eastAsia="Times New Roman" w:hAnsi="Times New Roman" w:cs="Times New Roman"/>
          <w:b/>
          <w:color w:val="auto"/>
          <w:sz w:val="24"/>
          <w:szCs w:val="24"/>
        </w:rPr>
        <w:t>Study</w:t>
      </w:r>
    </w:p>
    <w:p w14:paraId="5E0AD94A" w14:textId="77777777" w:rsidR="00F20991" w:rsidRPr="002B710B" w:rsidRDefault="00BF72AC" w:rsidP="002B710B">
      <w:pPr>
        <w:spacing w:after="0" w:line="480" w:lineRule="auto"/>
        <w:rPr>
          <w:rFonts w:ascii="Times New Roman" w:eastAsia="Arial Unicode MS" w:hAnsi="Times New Roman" w:cs="Times New Roman"/>
          <w:color w:val="auto"/>
          <w:sz w:val="24"/>
          <w:szCs w:val="24"/>
        </w:rPr>
      </w:pPr>
      <w:r w:rsidRPr="002B710B">
        <w:rPr>
          <w:rFonts w:ascii="Times New Roman" w:eastAsia="Times New Roman" w:hAnsi="Times New Roman" w:cs="Times New Roman"/>
          <w:color w:val="auto"/>
          <w:sz w:val="24"/>
          <w:szCs w:val="24"/>
        </w:rPr>
        <w:tab/>
        <w:t xml:space="preserve">Although most research on STEM course-taking acknowledges the broad range of subjects within STEM, there is a remarkable </w:t>
      </w:r>
      <w:r w:rsidR="000D0DDE" w:rsidRPr="002B710B">
        <w:rPr>
          <w:rFonts w:ascii="Times New Roman" w:eastAsia="Times New Roman" w:hAnsi="Times New Roman" w:cs="Times New Roman"/>
          <w:color w:val="auto"/>
          <w:sz w:val="24"/>
          <w:szCs w:val="24"/>
        </w:rPr>
        <w:t xml:space="preserve">dearth </w:t>
      </w:r>
      <w:r w:rsidRPr="002B710B">
        <w:rPr>
          <w:rFonts w:ascii="Times New Roman" w:eastAsia="Times New Roman" w:hAnsi="Times New Roman" w:cs="Times New Roman"/>
          <w:color w:val="auto"/>
          <w:sz w:val="24"/>
          <w:szCs w:val="24"/>
        </w:rPr>
        <w:t xml:space="preserve">of research on how students’ course-taking pathways in STEM fields of study are influenced by the interrelationships between STEM curricula. </w:t>
      </w:r>
      <w:r w:rsidR="0041556F" w:rsidRPr="002B710B">
        <w:rPr>
          <w:rFonts w:ascii="Times New Roman" w:eastAsia="Times New Roman" w:hAnsi="Times New Roman" w:cs="Times New Roman"/>
          <w:color w:val="auto"/>
          <w:sz w:val="24"/>
          <w:szCs w:val="24"/>
        </w:rPr>
        <w:t xml:space="preserve"> </w:t>
      </w:r>
      <w:r w:rsidRPr="002B710B">
        <w:rPr>
          <w:rFonts w:ascii="Times New Roman" w:eastAsia="Times New Roman" w:hAnsi="Times New Roman" w:cs="Times New Roman"/>
          <w:color w:val="auto"/>
          <w:sz w:val="24"/>
          <w:szCs w:val="24"/>
        </w:rPr>
        <w:t>STEM</w:t>
      </w:r>
      <w:r w:rsidR="005011F7" w:rsidRPr="002B710B">
        <w:rPr>
          <w:rFonts w:ascii="Times New Roman" w:eastAsia="Times New Roman" w:hAnsi="Times New Roman" w:cs="Times New Roman"/>
          <w:color w:val="auto"/>
          <w:sz w:val="24"/>
          <w:szCs w:val="24"/>
        </w:rPr>
        <w:t xml:space="preserve"> course-taking</w:t>
      </w:r>
      <w:r w:rsidRPr="002B710B">
        <w:rPr>
          <w:rFonts w:ascii="Times New Roman" w:eastAsia="Times New Roman" w:hAnsi="Times New Roman" w:cs="Times New Roman"/>
          <w:color w:val="auto"/>
          <w:sz w:val="24"/>
          <w:szCs w:val="24"/>
        </w:rPr>
        <w:t xml:space="preserve"> </w:t>
      </w:r>
      <w:r w:rsidR="005011F7" w:rsidRPr="002B710B">
        <w:rPr>
          <w:rFonts w:ascii="Times New Roman" w:eastAsia="Times New Roman" w:hAnsi="Times New Roman" w:cs="Times New Roman"/>
          <w:color w:val="auto"/>
          <w:sz w:val="24"/>
          <w:szCs w:val="24"/>
        </w:rPr>
        <w:t xml:space="preserve">typically </w:t>
      </w:r>
      <w:r w:rsidR="00EC0DE6" w:rsidRPr="002B710B">
        <w:rPr>
          <w:rFonts w:ascii="Times New Roman" w:eastAsia="Times New Roman" w:hAnsi="Times New Roman" w:cs="Times New Roman"/>
          <w:color w:val="auto"/>
          <w:sz w:val="24"/>
          <w:szCs w:val="24"/>
        </w:rPr>
        <w:t xml:space="preserve">has </w:t>
      </w:r>
      <w:r w:rsidR="005011F7" w:rsidRPr="002B710B">
        <w:rPr>
          <w:rFonts w:ascii="Times New Roman" w:eastAsia="Times New Roman" w:hAnsi="Times New Roman" w:cs="Times New Roman"/>
          <w:color w:val="auto"/>
          <w:sz w:val="24"/>
          <w:szCs w:val="24"/>
        </w:rPr>
        <w:t>been</w:t>
      </w:r>
      <w:r w:rsidRPr="002B710B">
        <w:rPr>
          <w:rFonts w:ascii="Times New Roman" w:eastAsia="Times New Roman" w:hAnsi="Times New Roman" w:cs="Times New Roman"/>
          <w:color w:val="auto"/>
          <w:sz w:val="24"/>
          <w:szCs w:val="24"/>
        </w:rPr>
        <w:t xml:space="preserve"> analyzed </w:t>
      </w:r>
      <w:r w:rsidR="00552C5A" w:rsidRPr="00552C5A">
        <w:rPr>
          <w:rFonts w:ascii="Times New Roman" w:eastAsia="Times New Roman" w:hAnsi="Times New Roman" w:cs="Times New Roman"/>
          <w:i/>
          <w:color w:val="auto"/>
          <w:sz w:val="24"/>
          <w:szCs w:val="24"/>
        </w:rPr>
        <w:t>within</w:t>
      </w:r>
      <w:r w:rsidR="00DF4AE5" w:rsidRPr="00113507">
        <w:rPr>
          <w:rFonts w:ascii="Times New Roman" w:eastAsia="Times New Roman" w:hAnsi="Times New Roman" w:cs="Times New Roman"/>
          <w:color w:val="auto"/>
          <w:sz w:val="24"/>
          <w:szCs w:val="24"/>
        </w:rPr>
        <w:t xml:space="preserve"> a given </w:t>
      </w:r>
      <w:r w:rsidRPr="00113507">
        <w:rPr>
          <w:rFonts w:ascii="Times New Roman" w:eastAsia="Times New Roman" w:hAnsi="Times New Roman" w:cs="Times New Roman"/>
          <w:color w:val="auto"/>
          <w:sz w:val="24"/>
          <w:szCs w:val="24"/>
        </w:rPr>
        <w:t xml:space="preserve">discipline or subject, without consideration to </w:t>
      </w:r>
      <w:r w:rsidR="005011F7" w:rsidRPr="002B710B">
        <w:rPr>
          <w:rFonts w:ascii="Times New Roman" w:eastAsia="Times New Roman" w:hAnsi="Times New Roman" w:cs="Times New Roman"/>
          <w:color w:val="auto"/>
          <w:sz w:val="24"/>
          <w:szCs w:val="24"/>
        </w:rPr>
        <w:t>the</w:t>
      </w:r>
      <w:r w:rsidRPr="002B710B">
        <w:rPr>
          <w:rFonts w:ascii="Times New Roman" w:eastAsia="Times New Roman" w:hAnsi="Times New Roman" w:cs="Times New Roman"/>
          <w:color w:val="auto"/>
          <w:sz w:val="24"/>
          <w:szCs w:val="24"/>
        </w:rPr>
        <w:t xml:space="preserve"> many STEM </w:t>
      </w:r>
      <w:r w:rsidR="00EC0DE6" w:rsidRPr="002B710B">
        <w:rPr>
          <w:rFonts w:ascii="Times New Roman" w:eastAsia="Times New Roman" w:hAnsi="Times New Roman" w:cs="Times New Roman"/>
          <w:color w:val="auto"/>
          <w:sz w:val="24"/>
          <w:szCs w:val="24"/>
        </w:rPr>
        <w:t xml:space="preserve">programs of study </w:t>
      </w:r>
      <w:r w:rsidR="005011F7" w:rsidRPr="002B710B">
        <w:rPr>
          <w:rFonts w:ascii="Times New Roman" w:eastAsia="Times New Roman" w:hAnsi="Times New Roman" w:cs="Times New Roman"/>
          <w:color w:val="auto"/>
          <w:sz w:val="24"/>
          <w:szCs w:val="24"/>
        </w:rPr>
        <w:t>that</w:t>
      </w:r>
      <w:r w:rsidRPr="002B710B">
        <w:rPr>
          <w:rFonts w:ascii="Times New Roman" w:eastAsia="Times New Roman" w:hAnsi="Times New Roman" w:cs="Times New Roman"/>
          <w:color w:val="auto"/>
          <w:sz w:val="24"/>
          <w:szCs w:val="24"/>
        </w:rPr>
        <w:t xml:space="preserve"> require </w:t>
      </w:r>
      <w:r w:rsidR="00EC0DE6" w:rsidRPr="002B710B">
        <w:rPr>
          <w:rFonts w:ascii="Times New Roman" w:eastAsia="Times New Roman" w:hAnsi="Times New Roman" w:cs="Times New Roman"/>
          <w:color w:val="auto"/>
          <w:sz w:val="24"/>
          <w:szCs w:val="24"/>
        </w:rPr>
        <w:t xml:space="preserve">students to complete </w:t>
      </w:r>
      <w:r w:rsidR="00DF4AE5" w:rsidRPr="002B710B">
        <w:rPr>
          <w:rFonts w:ascii="Times New Roman" w:eastAsia="Times New Roman" w:hAnsi="Times New Roman" w:cs="Times New Roman"/>
          <w:color w:val="auto"/>
          <w:sz w:val="24"/>
          <w:szCs w:val="24"/>
        </w:rPr>
        <w:t xml:space="preserve">coursework in </w:t>
      </w:r>
      <w:r w:rsidRPr="002B710B">
        <w:rPr>
          <w:rFonts w:ascii="Times New Roman" w:eastAsia="Times New Roman" w:hAnsi="Times New Roman" w:cs="Times New Roman"/>
          <w:color w:val="auto"/>
          <w:sz w:val="24"/>
          <w:szCs w:val="24"/>
        </w:rPr>
        <w:t xml:space="preserve">multiple STEM subjects (e.g., engineering requires </w:t>
      </w:r>
      <w:r w:rsidR="00DF4AE5" w:rsidRPr="002B710B">
        <w:rPr>
          <w:rFonts w:ascii="Times New Roman" w:eastAsia="Times New Roman" w:hAnsi="Times New Roman" w:cs="Times New Roman"/>
          <w:color w:val="auto"/>
          <w:sz w:val="24"/>
          <w:szCs w:val="24"/>
        </w:rPr>
        <w:t xml:space="preserve">coursework </w:t>
      </w:r>
      <w:r w:rsidR="005011F7" w:rsidRPr="002B710B">
        <w:rPr>
          <w:rFonts w:ascii="Times New Roman" w:eastAsia="Times New Roman" w:hAnsi="Times New Roman" w:cs="Times New Roman"/>
          <w:color w:val="auto"/>
          <w:sz w:val="24"/>
          <w:szCs w:val="24"/>
        </w:rPr>
        <w:t xml:space="preserve">in </w:t>
      </w:r>
      <w:r w:rsidRPr="002B710B">
        <w:rPr>
          <w:rFonts w:ascii="Times New Roman" w:eastAsia="Times New Roman" w:hAnsi="Times New Roman" w:cs="Times New Roman"/>
          <w:color w:val="auto"/>
          <w:sz w:val="24"/>
          <w:szCs w:val="24"/>
        </w:rPr>
        <w:t xml:space="preserve">math and physics). In this study, we move beyond an acknowledgement of the importance of individual </w:t>
      </w:r>
      <w:r w:rsidRPr="002B710B">
        <w:rPr>
          <w:rFonts w:ascii="Times New Roman" w:eastAsia="Times New Roman" w:hAnsi="Times New Roman" w:cs="Times New Roman"/>
          <w:color w:val="auto"/>
          <w:sz w:val="24"/>
          <w:szCs w:val="24"/>
        </w:rPr>
        <w:lastRenderedPageBreak/>
        <w:t xml:space="preserve">STEM subjects to analyze STEM course-taking in an interdisciplinary context, focusing on </w:t>
      </w:r>
      <w:r w:rsidR="00EC0DE6" w:rsidRPr="002B710B">
        <w:rPr>
          <w:rFonts w:ascii="Times New Roman" w:eastAsia="Times New Roman" w:hAnsi="Times New Roman" w:cs="Times New Roman"/>
          <w:color w:val="auto"/>
          <w:sz w:val="24"/>
          <w:szCs w:val="24"/>
        </w:rPr>
        <w:t xml:space="preserve">pairs of STEM </w:t>
      </w:r>
      <w:r w:rsidRPr="002B710B">
        <w:rPr>
          <w:rFonts w:ascii="Times New Roman" w:eastAsia="Times New Roman" w:hAnsi="Times New Roman" w:cs="Times New Roman"/>
          <w:color w:val="auto"/>
          <w:sz w:val="24"/>
          <w:szCs w:val="24"/>
        </w:rPr>
        <w:t>course</w:t>
      </w:r>
      <w:r w:rsidR="00EC0DE6" w:rsidRPr="002B710B">
        <w:rPr>
          <w:rFonts w:ascii="Times New Roman" w:eastAsia="Times New Roman" w:hAnsi="Times New Roman" w:cs="Times New Roman"/>
          <w:color w:val="auto"/>
          <w:sz w:val="24"/>
          <w:szCs w:val="24"/>
        </w:rPr>
        <w:t>s</w:t>
      </w:r>
      <w:r w:rsidRPr="002B710B">
        <w:rPr>
          <w:rFonts w:ascii="Times New Roman" w:eastAsia="Times New Roman" w:hAnsi="Times New Roman" w:cs="Times New Roman"/>
          <w:color w:val="auto"/>
          <w:sz w:val="24"/>
          <w:szCs w:val="24"/>
        </w:rPr>
        <w:t xml:space="preserve"> that are critical to student advancement in STEM.</w:t>
      </w:r>
      <w:r w:rsidR="005011F7" w:rsidRPr="002B710B">
        <w:rPr>
          <w:rFonts w:ascii="Times New Roman" w:eastAsia="Times New Roman" w:hAnsi="Times New Roman" w:cs="Times New Roman"/>
          <w:color w:val="auto"/>
          <w:sz w:val="24"/>
          <w:szCs w:val="24"/>
        </w:rPr>
        <w:t xml:space="preserve">  </w:t>
      </w:r>
    </w:p>
    <w:p w14:paraId="613ED29C" w14:textId="77777777" w:rsidR="00731CAB" w:rsidRDefault="005011F7" w:rsidP="00731CAB">
      <w:pPr>
        <w:pStyle w:val="Normal1"/>
        <w:spacing w:after="0" w:line="480" w:lineRule="auto"/>
        <w:ind w:firstLine="720"/>
        <w:contextualSpacing/>
        <w:rPr>
          <w:rFonts w:ascii="Times New Roman" w:eastAsia="Times New Roman" w:hAnsi="Times New Roman" w:cs="Times New Roman"/>
          <w:color w:val="auto"/>
          <w:sz w:val="24"/>
          <w:szCs w:val="24"/>
        </w:rPr>
      </w:pPr>
      <w:r w:rsidRPr="002B710B">
        <w:rPr>
          <w:rFonts w:ascii="Times New Roman" w:eastAsia="Times New Roman" w:hAnsi="Times New Roman" w:cs="Times New Roman"/>
          <w:color w:val="auto"/>
          <w:sz w:val="24"/>
          <w:szCs w:val="24"/>
        </w:rPr>
        <w:t xml:space="preserve">We contribute to the growing body of work that analyzes community college student course-taking behavior in STEM subjects </w:t>
      </w:r>
      <w:r w:rsidR="00731CAB">
        <w:rPr>
          <w:rFonts w:ascii="Times New Roman" w:eastAsia="Times New Roman" w:hAnsi="Times New Roman" w:cs="Times New Roman"/>
          <w:color w:val="auto"/>
          <w:sz w:val="24"/>
          <w:szCs w:val="24"/>
        </w:rPr>
        <w:t xml:space="preserve">by addressing several </w:t>
      </w:r>
      <w:r w:rsidRPr="002B710B">
        <w:rPr>
          <w:rFonts w:ascii="Times New Roman" w:eastAsia="Times New Roman" w:hAnsi="Times New Roman" w:cs="Times New Roman"/>
          <w:color w:val="auto"/>
          <w:sz w:val="24"/>
          <w:szCs w:val="24"/>
        </w:rPr>
        <w:t>unanswered questions about interdisciplinary STEM course-taking</w:t>
      </w:r>
      <w:r w:rsidR="00731CAB">
        <w:rPr>
          <w:rFonts w:ascii="Times New Roman" w:eastAsia="Times New Roman" w:hAnsi="Times New Roman" w:cs="Times New Roman"/>
          <w:color w:val="auto"/>
          <w:sz w:val="24"/>
          <w:szCs w:val="24"/>
        </w:rPr>
        <w:t>.  First</w:t>
      </w:r>
      <w:r w:rsidR="00202E01">
        <w:rPr>
          <w:rFonts w:ascii="Times New Roman" w:eastAsia="Times New Roman" w:hAnsi="Times New Roman" w:cs="Times New Roman"/>
          <w:color w:val="auto"/>
          <w:sz w:val="24"/>
          <w:szCs w:val="24"/>
        </w:rPr>
        <w:t>, how many students engage with multiple STEM disciplines at community colleges?  This will provide baseline information on how students are engaging, or failing to engage with STEM courses. Second</w:t>
      </w:r>
      <w:r w:rsidR="00731CAB">
        <w:rPr>
          <w:rFonts w:ascii="Times New Roman" w:eastAsia="Times New Roman" w:hAnsi="Times New Roman" w:cs="Times New Roman"/>
          <w:color w:val="auto"/>
          <w:sz w:val="24"/>
          <w:szCs w:val="24"/>
        </w:rPr>
        <w:t xml:space="preserve">, what </w:t>
      </w:r>
      <w:r w:rsidR="004F2F94">
        <w:rPr>
          <w:rFonts w:ascii="Times New Roman" w:eastAsia="Times New Roman" w:hAnsi="Times New Roman" w:cs="Times New Roman"/>
          <w:color w:val="auto"/>
          <w:sz w:val="24"/>
          <w:szCs w:val="24"/>
        </w:rPr>
        <w:t xml:space="preserve">are </w:t>
      </w:r>
      <w:r w:rsidR="00731CAB">
        <w:rPr>
          <w:rFonts w:ascii="Times New Roman" w:eastAsia="Times New Roman" w:hAnsi="Times New Roman" w:cs="Times New Roman"/>
          <w:color w:val="auto"/>
          <w:sz w:val="24"/>
          <w:szCs w:val="24"/>
        </w:rPr>
        <w:t>the critical pairs of STEM courses that act as gatekeepers to S</w:t>
      </w:r>
      <w:r w:rsidR="004F2F94">
        <w:rPr>
          <w:rFonts w:ascii="Times New Roman" w:eastAsia="Times New Roman" w:hAnsi="Times New Roman" w:cs="Times New Roman"/>
          <w:color w:val="auto"/>
          <w:sz w:val="24"/>
          <w:szCs w:val="24"/>
        </w:rPr>
        <w:t xml:space="preserve">TEM programs of study?  This question will provide a conceptual framework of interdisciplinary course-taking for our subsequent analysis. </w:t>
      </w:r>
      <w:r w:rsidR="00202E01">
        <w:rPr>
          <w:rFonts w:ascii="Times New Roman" w:eastAsia="Times New Roman" w:hAnsi="Times New Roman" w:cs="Times New Roman"/>
          <w:color w:val="auto"/>
          <w:sz w:val="24"/>
          <w:szCs w:val="24"/>
        </w:rPr>
        <w:t>Third</w:t>
      </w:r>
      <w:r w:rsidR="004F2F94">
        <w:rPr>
          <w:rFonts w:ascii="Times New Roman" w:eastAsia="Times New Roman" w:hAnsi="Times New Roman" w:cs="Times New Roman"/>
          <w:color w:val="auto"/>
          <w:sz w:val="24"/>
          <w:szCs w:val="24"/>
        </w:rPr>
        <w:t>, h</w:t>
      </w:r>
      <w:r w:rsidR="00731CAB">
        <w:rPr>
          <w:rFonts w:ascii="Times New Roman" w:eastAsia="Times New Roman" w:hAnsi="Times New Roman" w:cs="Times New Roman"/>
          <w:color w:val="auto"/>
          <w:sz w:val="24"/>
          <w:szCs w:val="24"/>
        </w:rPr>
        <w:t>ow do representation, course-success, and student credential and transfer outcomes differ by sex and race?</w:t>
      </w:r>
      <w:r w:rsidR="004F2F94">
        <w:rPr>
          <w:rFonts w:ascii="Times New Roman" w:eastAsia="Times New Roman" w:hAnsi="Times New Roman" w:cs="Times New Roman"/>
          <w:color w:val="auto"/>
          <w:sz w:val="24"/>
          <w:szCs w:val="24"/>
        </w:rPr>
        <w:t xml:space="preserve">  Given the increasing rhetoric around the underrepresentation of women and students of color in STEM, this study will provide baseline information on the STEM pipeline from an interdisciplinary perspective.  Finally, how does course-success differ by the order in which interdisciplinary course pairs are taken?    </w:t>
      </w:r>
    </w:p>
    <w:p w14:paraId="422285A3" w14:textId="77777777" w:rsidR="004F2F94" w:rsidRDefault="004F2F94" w:rsidP="004F2F94">
      <w:pPr>
        <w:pStyle w:val="Normal1"/>
        <w:spacing w:after="0" w:line="480" w:lineRule="auto"/>
        <w:ind w:firstLine="720"/>
        <w:contextualSpacing/>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In o</w:t>
      </w:r>
      <w:r w:rsidR="00FA5DA9">
        <w:rPr>
          <w:rFonts w:ascii="Times New Roman" w:eastAsia="Times New Roman" w:hAnsi="Times New Roman" w:cs="Times New Roman"/>
          <w:color w:val="auto"/>
          <w:sz w:val="24"/>
          <w:szCs w:val="24"/>
        </w:rPr>
        <w:t xml:space="preserve">rder to answer these questions </w:t>
      </w:r>
      <w:r>
        <w:rPr>
          <w:rFonts w:ascii="Times New Roman" w:eastAsia="Times New Roman" w:hAnsi="Times New Roman" w:cs="Times New Roman"/>
          <w:color w:val="auto"/>
          <w:sz w:val="24"/>
          <w:szCs w:val="24"/>
        </w:rPr>
        <w:t xml:space="preserve">we </w:t>
      </w:r>
      <w:r w:rsidR="005011F7" w:rsidRPr="00113507">
        <w:rPr>
          <w:rFonts w:ascii="Times New Roman" w:eastAsia="Times New Roman" w:hAnsi="Times New Roman" w:cs="Times New Roman"/>
          <w:color w:val="auto"/>
          <w:sz w:val="24"/>
          <w:szCs w:val="24"/>
        </w:rPr>
        <w:t xml:space="preserve">present a descriptive analysis of lower-division interdisciplinary coursework, which accounts for how many students engage with multiple STEM subjects at community colleges.  </w:t>
      </w:r>
      <w:r>
        <w:rPr>
          <w:rFonts w:ascii="Times New Roman" w:eastAsia="Times New Roman" w:hAnsi="Times New Roman" w:cs="Times New Roman"/>
          <w:color w:val="auto"/>
          <w:sz w:val="24"/>
          <w:szCs w:val="24"/>
        </w:rPr>
        <w:t>We then</w:t>
      </w:r>
      <w:r w:rsidR="005011F7" w:rsidRPr="002B710B">
        <w:rPr>
          <w:rFonts w:ascii="Times New Roman" w:eastAsia="Times New Roman" w:hAnsi="Times New Roman" w:cs="Times New Roman"/>
          <w:color w:val="auto"/>
          <w:sz w:val="24"/>
          <w:szCs w:val="24"/>
        </w:rPr>
        <w:t xml:space="preserve"> focus on a few combinations of courses </w:t>
      </w:r>
      <w:r w:rsidR="005E5DFF" w:rsidRPr="002B710B">
        <w:rPr>
          <w:rFonts w:ascii="Times New Roman" w:eastAsia="Times New Roman" w:hAnsi="Times New Roman" w:cs="Times New Roman"/>
          <w:color w:val="auto"/>
          <w:sz w:val="24"/>
          <w:szCs w:val="24"/>
        </w:rPr>
        <w:t xml:space="preserve">(i.e., pairs of courses) </w:t>
      </w:r>
      <w:r w:rsidR="005011F7" w:rsidRPr="002B710B">
        <w:rPr>
          <w:rFonts w:ascii="Times New Roman" w:eastAsia="Times New Roman" w:hAnsi="Times New Roman" w:cs="Times New Roman"/>
          <w:color w:val="auto"/>
          <w:sz w:val="24"/>
          <w:szCs w:val="24"/>
        </w:rPr>
        <w:t>that are critical to STEM degree completion and identify how engagement in interdisciplinary coursework is associated with important institutional outcomes</w:t>
      </w:r>
      <w:r w:rsidR="0041556F" w:rsidRPr="002B710B">
        <w:rPr>
          <w:rFonts w:ascii="Times New Roman" w:eastAsia="Times New Roman" w:hAnsi="Times New Roman" w:cs="Times New Roman"/>
          <w:color w:val="auto"/>
          <w:sz w:val="24"/>
          <w:szCs w:val="24"/>
        </w:rPr>
        <w:t>,</w:t>
      </w:r>
      <w:r w:rsidR="005011F7" w:rsidRPr="002B710B">
        <w:rPr>
          <w:rFonts w:ascii="Times New Roman" w:eastAsia="Times New Roman" w:hAnsi="Times New Roman" w:cs="Times New Roman"/>
          <w:color w:val="auto"/>
          <w:sz w:val="24"/>
          <w:szCs w:val="24"/>
        </w:rPr>
        <w:t xml:space="preserve"> such as transfer, credential completion, and exit without a credential. </w:t>
      </w:r>
      <w:r w:rsidR="0041556F" w:rsidRPr="002B710B">
        <w:rPr>
          <w:rFonts w:ascii="Times New Roman" w:eastAsia="Times New Roman" w:hAnsi="Times New Roman" w:cs="Times New Roman"/>
          <w:color w:val="auto"/>
          <w:sz w:val="24"/>
          <w:szCs w:val="24"/>
        </w:rPr>
        <w:t xml:space="preserve"> </w:t>
      </w:r>
    </w:p>
    <w:p w14:paraId="416D8552" w14:textId="77777777" w:rsidR="005011F7" w:rsidRPr="002B710B" w:rsidRDefault="001B102F" w:rsidP="004F2F94">
      <w:pPr>
        <w:pStyle w:val="Normal1"/>
        <w:spacing w:after="0" w:line="480" w:lineRule="auto"/>
        <w:ind w:firstLine="720"/>
        <w:contextualSpacing/>
        <w:rPr>
          <w:rFonts w:ascii="Times New Roman" w:eastAsia="Times New Roman" w:hAnsi="Times New Roman" w:cs="Times New Roman"/>
          <w:color w:val="auto"/>
          <w:sz w:val="24"/>
          <w:szCs w:val="24"/>
        </w:rPr>
      </w:pPr>
      <w:r w:rsidRPr="002B710B">
        <w:rPr>
          <w:rFonts w:ascii="Times New Roman" w:eastAsia="Times New Roman" w:hAnsi="Times New Roman" w:cs="Times New Roman"/>
          <w:color w:val="auto"/>
          <w:sz w:val="24"/>
          <w:szCs w:val="24"/>
        </w:rPr>
        <w:t>Our approach is strengths</w:t>
      </w:r>
      <w:r w:rsidR="0068728A" w:rsidRPr="002B710B">
        <w:rPr>
          <w:rFonts w:ascii="Times New Roman" w:eastAsia="Times New Roman" w:hAnsi="Times New Roman" w:cs="Times New Roman"/>
          <w:color w:val="auto"/>
          <w:sz w:val="24"/>
          <w:szCs w:val="24"/>
        </w:rPr>
        <w:t>-</w:t>
      </w:r>
      <w:r w:rsidRPr="002B710B">
        <w:rPr>
          <w:rFonts w:ascii="Times New Roman" w:eastAsia="Times New Roman" w:hAnsi="Times New Roman" w:cs="Times New Roman"/>
          <w:color w:val="auto"/>
          <w:sz w:val="24"/>
          <w:szCs w:val="24"/>
        </w:rPr>
        <w:t>based</w:t>
      </w:r>
      <w:r w:rsidR="003A33C1" w:rsidRPr="002B710B">
        <w:rPr>
          <w:rFonts w:ascii="Times New Roman" w:eastAsia="Times New Roman" w:hAnsi="Times New Roman" w:cs="Times New Roman"/>
          <w:color w:val="auto"/>
          <w:sz w:val="24"/>
          <w:szCs w:val="24"/>
        </w:rPr>
        <w:t>,</w:t>
      </w:r>
      <w:r w:rsidRPr="002B710B">
        <w:rPr>
          <w:rFonts w:ascii="Times New Roman" w:eastAsia="Times New Roman" w:hAnsi="Times New Roman" w:cs="Times New Roman"/>
          <w:color w:val="auto"/>
          <w:sz w:val="24"/>
          <w:szCs w:val="24"/>
        </w:rPr>
        <w:t xml:space="preserve"> in that we are seeking to understand the </w:t>
      </w:r>
      <w:r w:rsidR="003A33C1" w:rsidRPr="002B710B">
        <w:rPr>
          <w:rFonts w:ascii="Times New Roman" w:eastAsia="Times New Roman" w:hAnsi="Times New Roman" w:cs="Times New Roman"/>
          <w:color w:val="auto"/>
          <w:sz w:val="24"/>
          <w:szCs w:val="24"/>
        </w:rPr>
        <w:t>characteristics,</w:t>
      </w:r>
      <w:r w:rsidRPr="002B710B">
        <w:rPr>
          <w:rFonts w:ascii="Times New Roman" w:eastAsia="Times New Roman" w:hAnsi="Times New Roman" w:cs="Times New Roman"/>
          <w:color w:val="auto"/>
          <w:sz w:val="24"/>
          <w:szCs w:val="24"/>
        </w:rPr>
        <w:t xml:space="preserve"> course</w:t>
      </w:r>
      <w:r w:rsidR="003A33C1" w:rsidRPr="002B710B">
        <w:rPr>
          <w:rFonts w:ascii="Times New Roman" w:eastAsia="Times New Roman" w:hAnsi="Times New Roman" w:cs="Times New Roman"/>
          <w:color w:val="auto"/>
          <w:sz w:val="24"/>
          <w:szCs w:val="24"/>
        </w:rPr>
        <w:t>-</w:t>
      </w:r>
      <w:r w:rsidRPr="002B710B">
        <w:rPr>
          <w:rFonts w:ascii="Times New Roman" w:eastAsia="Times New Roman" w:hAnsi="Times New Roman" w:cs="Times New Roman"/>
          <w:color w:val="auto"/>
          <w:sz w:val="24"/>
          <w:szCs w:val="24"/>
        </w:rPr>
        <w:t>taking behaviors</w:t>
      </w:r>
      <w:r w:rsidR="003A33C1" w:rsidRPr="002B710B">
        <w:rPr>
          <w:rFonts w:ascii="Times New Roman" w:eastAsia="Times New Roman" w:hAnsi="Times New Roman" w:cs="Times New Roman"/>
          <w:color w:val="auto"/>
          <w:sz w:val="24"/>
          <w:szCs w:val="24"/>
        </w:rPr>
        <w:t>, and outcomes associated with</w:t>
      </w:r>
      <w:r w:rsidRPr="002B710B">
        <w:rPr>
          <w:rFonts w:ascii="Times New Roman" w:eastAsia="Times New Roman" w:hAnsi="Times New Roman" w:cs="Times New Roman"/>
          <w:color w:val="auto"/>
          <w:sz w:val="24"/>
          <w:szCs w:val="24"/>
        </w:rPr>
        <w:t xml:space="preserve"> students who completed these critical </w:t>
      </w:r>
      <w:r w:rsidR="003A33C1" w:rsidRPr="002B710B">
        <w:rPr>
          <w:rFonts w:ascii="Times New Roman" w:eastAsia="Times New Roman" w:hAnsi="Times New Roman" w:cs="Times New Roman"/>
          <w:color w:val="auto"/>
          <w:sz w:val="24"/>
          <w:szCs w:val="24"/>
        </w:rPr>
        <w:t xml:space="preserve">course </w:t>
      </w:r>
      <w:r w:rsidRPr="002B710B">
        <w:rPr>
          <w:rFonts w:ascii="Times New Roman" w:eastAsia="Times New Roman" w:hAnsi="Times New Roman" w:cs="Times New Roman"/>
          <w:color w:val="auto"/>
          <w:sz w:val="24"/>
          <w:szCs w:val="24"/>
        </w:rPr>
        <w:t>combinations in the STEM curriculum (</w:t>
      </w:r>
      <w:proofErr w:type="spellStart"/>
      <w:r w:rsidRPr="004256A1">
        <w:rPr>
          <w:rFonts w:ascii="Times New Roman" w:eastAsia="Times New Roman" w:hAnsi="Times New Roman" w:cs="Times New Roman"/>
          <w:color w:val="auto"/>
          <w:sz w:val="24"/>
          <w:szCs w:val="24"/>
        </w:rPr>
        <w:t>Maton</w:t>
      </w:r>
      <w:proofErr w:type="spellEnd"/>
      <w:r w:rsidRPr="004256A1">
        <w:rPr>
          <w:rFonts w:ascii="Times New Roman" w:eastAsia="Times New Roman" w:hAnsi="Times New Roman" w:cs="Times New Roman"/>
          <w:color w:val="auto"/>
          <w:sz w:val="24"/>
          <w:szCs w:val="24"/>
        </w:rPr>
        <w:t xml:space="preserve"> &amp; </w:t>
      </w:r>
      <w:proofErr w:type="spellStart"/>
      <w:r w:rsidRPr="004256A1">
        <w:rPr>
          <w:rFonts w:ascii="Times New Roman" w:eastAsia="Times New Roman" w:hAnsi="Times New Roman" w:cs="Times New Roman"/>
          <w:color w:val="auto"/>
          <w:sz w:val="24"/>
          <w:szCs w:val="24"/>
        </w:rPr>
        <w:t>Hrabowski</w:t>
      </w:r>
      <w:proofErr w:type="spellEnd"/>
      <w:r w:rsidRPr="004256A1">
        <w:rPr>
          <w:rFonts w:ascii="Times New Roman" w:eastAsia="Times New Roman" w:hAnsi="Times New Roman" w:cs="Times New Roman"/>
          <w:color w:val="auto"/>
          <w:sz w:val="24"/>
          <w:szCs w:val="24"/>
        </w:rPr>
        <w:t xml:space="preserve"> III, 2004)</w:t>
      </w:r>
      <w:r w:rsidRPr="002B710B">
        <w:rPr>
          <w:rFonts w:ascii="Times New Roman" w:eastAsia="Times New Roman" w:hAnsi="Times New Roman" w:cs="Times New Roman"/>
          <w:color w:val="auto"/>
          <w:sz w:val="24"/>
          <w:szCs w:val="24"/>
        </w:rPr>
        <w:t xml:space="preserve">.  </w:t>
      </w:r>
      <w:r w:rsidR="007C1159" w:rsidRPr="002B710B">
        <w:rPr>
          <w:rFonts w:ascii="Times New Roman" w:eastAsia="Times New Roman" w:hAnsi="Times New Roman" w:cs="Times New Roman"/>
          <w:color w:val="auto"/>
          <w:sz w:val="24"/>
          <w:szCs w:val="24"/>
        </w:rPr>
        <w:t>F</w:t>
      </w:r>
      <w:r w:rsidR="005011F7" w:rsidRPr="002B710B">
        <w:rPr>
          <w:rFonts w:ascii="Times New Roman" w:eastAsia="Times New Roman" w:hAnsi="Times New Roman" w:cs="Times New Roman"/>
          <w:color w:val="auto"/>
          <w:sz w:val="24"/>
          <w:szCs w:val="24"/>
        </w:rPr>
        <w:t xml:space="preserve">urther, analyze </w:t>
      </w:r>
      <w:r w:rsidR="005011F7" w:rsidRPr="002B710B">
        <w:rPr>
          <w:rFonts w:ascii="Times New Roman" w:eastAsia="Times New Roman" w:hAnsi="Times New Roman" w:cs="Times New Roman"/>
          <w:color w:val="auto"/>
          <w:sz w:val="24"/>
          <w:szCs w:val="24"/>
        </w:rPr>
        <w:lastRenderedPageBreak/>
        <w:t>how these outcomes differ by select demographic characteristics (i.e., sex and race</w:t>
      </w:r>
      <w:r w:rsidR="007C1159" w:rsidRPr="002B710B">
        <w:rPr>
          <w:rFonts w:ascii="Times New Roman" w:eastAsia="Times New Roman" w:hAnsi="Times New Roman" w:cs="Times New Roman"/>
          <w:color w:val="auto"/>
          <w:sz w:val="24"/>
          <w:szCs w:val="24"/>
        </w:rPr>
        <w:t>/ethnicity</w:t>
      </w:r>
      <w:r w:rsidR="005011F7" w:rsidRPr="002B710B">
        <w:rPr>
          <w:rFonts w:ascii="Times New Roman" w:eastAsia="Times New Roman" w:hAnsi="Times New Roman" w:cs="Times New Roman"/>
          <w:color w:val="auto"/>
          <w:sz w:val="24"/>
          <w:szCs w:val="24"/>
        </w:rPr>
        <w:t xml:space="preserve">). </w:t>
      </w:r>
      <w:r w:rsidR="00EC5F53" w:rsidRPr="002B710B">
        <w:rPr>
          <w:rFonts w:ascii="Times New Roman" w:eastAsia="Times New Roman" w:hAnsi="Times New Roman" w:cs="Times New Roman"/>
          <w:color w:val="auto"/>
          <w:sz w:val="24"/>
          <w:szCs w:val="24"/>
        </w:rPr>
        <w:t xml:space="preserve"> </w:t>
      </w:r>
      <w:r w:rsidR="005011F7" w:rsidRPr="002B710B">
        <w:rPr>
          <w:rFonts w:ascii="Times New Roman" w:eastAsia="Times New Roman" w:hAnsi="Times New Roman" w:cs="Times New Roman"/>
          <w:color w:val="auto"/>
          <w:sz w:val="24"/>
          <w:szCs w:val="24"/>
        </w:rPr>
        <w:t xml:space="preserve">Finally, we examine how student course-taking </w:t>
      </w:r>
      <w:r w:rsidRPr="002B710B">
        <w:rPr>
          <w:rFonts w:ascii="Times New Roman" w:eastAsia="Times New Roman" w:hAnsi="Times New Roman" w:cs="Times New Roman"/>
          <w:color w:val="auto"/>
          <w:sz w:val="24"/>
          <w:szCs w:val="24"/>
        </w:rPr>
        <w:t>behaviors</w:t>
      </w:r>
      <w:r w:rsidR="005011F7" w:rsidRPr="002B710B">
        <w:rPr>
          <w:rFonts w:ascii="Times New Roman" w:eastAsia="Times New Roman" w:hAnsi="Times New Roman" w:cs="Times New Roman"/>
          <w:color w:val="auto"/>
          <w:sz w:val="24"/>
          <w:szCs w:val="24"/>
        </w:rPr>
        <w:t xml:space="preserve"> </w:t>
      </w:r>
      <w:r w:rsidR="001F5B08" w:rsidRPr="002B710B">
        <w:rPr>
          <w:rFonts w:ascii="Times New Roman" w:eastAsia="Times New Roman" w:hAnsi="Times New Roman" w:cs="Times New Roman"/>
          <w:color w:val="auto"/>
          <w:sz w:val="24"/>
          <w:szCs w:val="24"/>
        </w:rPr>
        <w:t xml:space="preserve">may are associated with </w:t>
      </w:r>
      <w:r w:rsidR="005011F7" w:rsidRPr="002B710B">
        <w:rPr>
          <w:rFonts w:ascii="Times New Roman" w:eastAsia="Times New Roman" w:hAnsi="Times New Roman" w:cs="Times New Roman"/>
          <w:color w:val="auto"/>
          <w:sz w:val="24"/>
          <w:szCs w:val="24"/>
        </w:rPr>
        <w:t xml:space="preserve">success in the course and other outcomes such as transfer and credential attainment.  Our findings provide a much needed perspective to scholars and practitioners on how students not only engage with the STEM curriculum, but how their course-taking decisions </w:t>
      </w:r>
      <w:r w:rsidR="00EC5F53" w:rsidRPr="002B710B">
        <w:rPr>
          <w:rFonts w:ascii="Times New Roman" w:eastAsia="Times New Roman" w:hAnsi="Times New Roman" w:cs="Times New Roman"/>
          <w:color w:val="auto"/>
          <w:sz w:val="24"/>
          <w:szCs w:val="24"/>
        </w:rPr>
        <w:t>a</w:t>
      </w:r>
      <w:r w:rsidR="005011F7" w:rsidRPr="002B710B">
        <w:rPr>
          <w:rFonts w:ascii="Times New Roman" w:eastAsia="Times New Roman" w:hAnsi="Times New Roman" w:cs="Times New Roman"/>
          <w:color w:val="auto"/>
          <w:sz w:val="24"/>
          <w:szCs w:val="24"/>
        </w:rPr>
        <w:t>ffect the progress, or failure to progress</w:t>
      </w:r>
      <w:r w:rsidR="00EC5F53" w:rsidRPr="002B710B">
        <w:rPr>
          <w:rFonts w:ascii="Times New Roman" w:eastAsia="Times New Roman" w:hAnsi="Times New Roman" w:cs="Times New Roman"/>
          <w:color w:val="auto"/>
          <w:sz w:val="24"/>
          <w:szCs w:val="24"/>
        </w:rPr>
        <w:t>,</w:t>
      </w:r>
      <w:r w:rsidR="005011F7" w:rsidRPr="002B710B">
        <w:rPr>
          <w:rFonts w:ascii="Times New Roman" w:eastAsia="Times New Roman" w:hAnsi="Times New Roman" w:cs="Times New Roman"/>
          <w:color w:val="auto"/>
          <w:sz w:val="24"/>
          <w:szCs w:val="24"/>
        </w:rPr>
        <w:t xml:space="preserve"> to STEM  majors that require simultaneous interdisciplinary course-taking in community colleges.</w:t>
      </w:r>
    </w:p>
    <w:p w14:paraId="21A08317" w14:textId="77777777" w:rsidR="007E6AD5" w:rsidRPr="002B710B" w:rsidRDefault="00B04500" w:rsidP="002B710B">
      <w:pPr>
        <w:widowControl w:val="0"/>
        <w:spacing w:after="0" w:line="480" w:lineRule="auto"/>
        <w:jc w:val="center"/>
        <w:rPr>
          <w:rFonts w:ascii="Times New Roman" w:hAnsi="Times New Roman" w:cs="Times New Roman"/>
          <w:b/>
          <w:color w:val="auto"/>
          <w:sz w:val="24"/>
          <w:szCs w:val="24"/>
          <w:shd w:val="clear" w:color="auto" w:fill="FFFFFF"/>
        </w:rPr>
      </w:pPr>
      <w:r w:rsidRPr="002B710B">
        <w:rPr>
          <w:rFonts w:ascii="Times New Roman" w:hAnsi="Times New Roman" w:cs="Times New Roman"/>
          <w:b/>
          <w:color w:val="auto"/>
          <w:sz w:val="24"/>
          <w:szCs w:val="24"/>
          <w:shd w:val="clear" w:color="auto" w:fill="FFFFFF"/>
        </w:rPr>
        <w:t>Data and Methods</w:t>
      </w:r>
    </w:p>
    <w:p w14:paraId="25D1DD34" w14:textId="77777777" w:rsidR="00B04500" w:rsidRPr="002B710B" w:rsidRDefault="00B04500" w:rsidP="002B710B">
      <w:pPr>
        <w:widowControl w:val="0"/>
        <w:spacing w:after="0" w:line="480" w:lineRule="auto"/>
        <w:rPr>
          <w:rFonts w:ascii="Times New Roman" w:hAnsi="Times New Roman" w:cs="Times New Roman"/>
          <w:b/>
          <w:color w:val="auto"/>
          <w:sz w:val="24"/>
          <w:szCs w:val="24"/>
          <w:shd w:val="clear" w:color="auto" w:fill="FFFFFF"/>
        </w:rPr>
      </w:pPr>
      <w:r w:rsidRPr="002B710B">
        <w:rPr>
          <w:rFonts w:ascii="Times New Roman" w:hAnsi="Times New Roman" w:cs="Times New Roman"/>
          <w:b/>
          <w:color w:val="auto"/>
          <w:sz w:val="24"/>
          <w:szCs w:val="24"/>
          <w:shd w:val="clear" w:color="auto" w:fill="FFFFFF"/>
        </w:rPr>
        <w:t>Data</w:t>
      </w:r>
    </w:p>
    <w:p w14:paraId="7F1FD12E" w14:textId="77777777" w:rsidR="009C39FD" w:rsidRDefault="00AC79C6">
      <w:pPr>
        <w:spacing w:after="0" w:line="480" w:lineRule="auto"/>
        <w:ind w:firstLine="720"/>
        <w:rPr>
          <w:rFonts w:ascii="Times New Roman" w:eastAsia="Arial Unicode MS" w:hAnsi="Times New Roman" w:cs="Times New Roman"/>
          <w:color w:val="auto"/>
          <w:sz w:val="24"/>
          <w:szCs w:val="24"/>
        </w:rPr>
      </w:pPr>
      <w:r w:rsidRPr="002B710B">
        <w:rPr>
          <w:rFonts w:ascii="Times New Roman" w:eastAsia="Arial Unicode MS" w:hAnsi="Times New Roman" w:cs="Times New Roman"/>
          <w:color w:val="auto"/>
          <w:sz w:val="24"/>
          <w:szCs w:val="24"/>
        </w:rPr>
        <w:t>The data used in this study are from the California Community College system</w:t>
      </w:r>
      <w:r w:rsidR="007372CE" w:rsidRPr="002B710B">
        <w:rPr>
          <w:rFonts w:ascii="Times New Roman" w:eastAsia="Arial Unicode MS" w:hAnsi="Times New Roman" w:cs="Times New Roman"/>
          <w:color w:val="auto"/>
          <w:sz w:val="24"/>
          <w:szCs w:val="24"/>
        </w:rPr>
        <w:t xml:space="preserve"> database</w:t>
      </w:r>
      <w:r w:rsidRPr="002B710B">
        <w:rPr>
          <w:rFonts w:ascii="Times New Roman" w:eastAsia="Arial Unicode MS" w:hAnsi="Times New Roman" w:cs="Times New Roman"/>
          <w:color w:val="auto"/>
          <w:sz w:val="24"/>
          <w:szCs w:val="24"/>
        </w:rPr>
        <w:t xml:space="preserve">, which is comprised of </w:t>
      </w:r>
      <w:r w:rsidR="00DF4AE5" w:rsidRPr="002B710B">
        <w:rPr>
          <w:rFonts w:ascii="Times New Roman" w:eastAsia="Arial Unicode MS" w:hAnsi="Times New Roman" w:cs="Times New Roman"/>
          <w:color w:val="auto"/>
          <w:sz w:val="24"/>
          <w:szCs w:val="24"/>
        </w:rPr>
        <w:t xml:space="preserve">112 </w:t>
      </w:r>
      <w:r w:rsidRPr="002B710B">
        <w:rPr>
          <w:rFonts w:ascii="Times New Roman" w:eastAsia="Arial Unicode MS" w:hAnsi="Times New Roman" w:cs="Times New Roman"/>
          <w:color w:val="auto"/>
          <w:sz w:val="24"/>
          <w:szCs w:val="24"/>
        </w:rPr>
        <w:t>community colleges</w:t>
      </w:r>
      <w:r w:rsidR="00B04500" w:rsidRPr="002B710B">
        <w:rPr>
          <w:rFonts w:ascii="Times New Roman" w:eastAsia="Arial Unicode MS" w:hAnsi="Times New Roman" w:cs="Times New Roman"/>
          <w:color w:val="auto"/>
          <w:sz w:val="24"/>
          <w:szCs w:val="24"/>
        </w:rPr>
        <w:t xml:space="preserve"> and one-fifth of all community college students in the United States (California Community College </w:t>
      </w:r>
      <w:r w:rsidR="007372CE" w:rsidRPr="002B710B">
        <w:rPr>
          <w:rFonts w:ascii="Times New Roman" w:eastAsia="Arial Unicode MS" w:hAnsi="Times New Roman" w:cs="Times New Roman"/>
          <w:color w:val="auto"/>
          <w:sz w:val="24"/>
          <w:szCs w:val="24"/>
        </w:rPr>
        <w:t>Chancellors</w:t>
      </w:r>
      <w:r w:rsidR="007E581F">
        <w:rPr>
          <w:rFonts w:ascii="Times New Roman" w:eastAsia="Arial Unicode MS" w:hAnsi="Times New Roman" w:cs="Times New Roman"/>
          <w:color w:val="auto"/>
          <w:sz w:val="24"/>
          <w:szCs w:val="24"/>
        </w:rPr>
        <w:t xml:space="preserve"> O</w:t>
      </w:r>
      <w:r w:rsidR="00B04500" w:rsidRPr="002B710B">
        <w:rPr>
          <w:rFonts w:ascii="Times New Roman" w:eastAsia="Arial Unicode MS" w:hAnsi="Times New Roman" w:cs="Times New Roman"/>
          <w:color w:val="auto"/>
          <w:sz w:val="24"/>
          <w:szCs w:val="24"/>
        </w:rPr>
        <w:t>ffice, 2016)</w:t>
      </w:r>
      <w:r w:rsidRPr="002B710B">
        <w:rPr>
          <w:rFonts w:ascii="Times New Roman" w:eastAsia="Arial Unicode MS" w:hAnsi="Times New Roman" w:cs="Times New Roman"/>
          <w:color w:val="auto"/>
          <w:sz w:val="24"/>
          <w:szCs w:val="24"/>
        </w:rPr>
        <w:t xml:space="preserve">.  </w:t>
      </w:r>
      <w:r w:rsidR="001E28F1" w:rsidRPr="002B710B">
        <w:rPr>
          <w:rFonts w:ascii="Times New Roman" w:eastAsia="Arial Unicode MS" w:hAnsi="Times New Roman" w:cs="Times New Roman"/>
          <w:color w:val="auto"/>
          <w:sz w:val="24"/>
          <w:szCs w:val="24"/>
        </w:rPr>
        <w:t xml:space="preserve">We focus our analysis on </w:t>
      </w:r>
      <w:r w:rsidRPr="002B710B">
        <w:rPr>
          <w:rFonts w:ascii="Times New Roman" w:eastAsia="Arial Unicode MS" w:hAnsi="Times New Roman" w:cs="Times New Roman"/>
          <w:color w:val="auto"/>
          <w:sz w:val="24"/>
          <w:szCs w:val="24"/>
        </w:rPr>
        <w:t xml:space="preserve">first-time college students who </w:t>
      </w:r>
      <w:r w:rsidR="001E28F1" w:rsidRPr="002B710B">
        <w:rPr>
          <w:rFonts w:ascii="Times New Roman" w:eastAsia="Arial Unicode MS" w:hAnsi="Times New Roman" w:cs="Times New Roman"/>
          <w:color w:val="auto"/>
          <w:sz w:val="24"/>
          <w:szCs w:val="24"/>
        </w:rPr>
        <w:t xml:space="preserve">entered any of </w:t>
      </w:r>
      <w:r w:rsidRPr="002B710B">
        <w:rPr>
          <w:rFonts w:ascii="Times New Roman" w:eastAsia="Arial Unicode MS" w:hAnsi="Times New Roman" w:cs="Times New Roman"/>
          <w:color w:val="auto"/>
          <w:sz w:val="24"/>
          <w:szCs w:val="24"/>
        </w:rPr>
        <w:t xml:space="preserve">the 109 </w:t>
      </w:r>
      <w:r w:rsidR="001E28F1" w:rsidRPr="002B710B">
        <w:rPr>
          <w:rFonts w:ascii="Times New Roman" w:eastAsia="Arial Unicode MS" w:hAnsi="Times New Roman" w:cs="Times New Roman"/>
          <w:color w:val="auto"/>
          <w:sz w:val="24"/>
          <w:szCs w:val="24"/>
        </w:rPr>
        <w:t>semester-</w:t>
      </w:r>
      <w:r w:rsidRPr="002B710B">
        <w:rPr>
          <w:rFonts w:ascii="Times New Roman" w:eastAsia="Arial Unicode MS" w:hAnsi="Times New Roman" w:cs="Times New Roman"/>
          <w:color w:val="auto"/>
          <w:sz w:val="24"/>
          <w:szCs w:val="24"/>
        </w:rPr>
        <w:t>based colleges</w:t>
      </w:r>
      <w:r w:rsidR="001E28F1" w:rsidRPr="002B710B">
        <w:rPr>
          <w:rFonts w:ascii="Times New Roman" w:eastAsia="Arial Unicode MS" w:hAnsi="Times New Roman" w:cs="Times New Roman"/>
          <w:color w:val="auto"/>
          <w:sz w:val="24"/>
          <w:szCs w:val="24"/>
        </w:rPr>
        <w:t xml:space="preserve"> of the system (excluding the three quarter-</w:t>
      </w:r>
      <w:r w:rsidR="007E581F">
        <w:rPr>
          <w:rFonts w:ascii="Times New Roman" w:eastAsia="Arial Unicode MS" w:hAnsi="Times New Roman" w:cs="Times New Roman"/>
          <w:color w:val="auto"/>
          <w:sz w:val="24"/>
          <w:szCs w:val="24"/>
        </w:rPr>
        <w:t>semester</w:t>
      </w:r>
      <w:r w:rsidR="001E28F1" w:rsidRPr="002B710B">
        <w:rPr>
          <w:rFonts w:ascii="Times New Roman" w:eastAsia="Arial Unicode MS" w:hAnsi="Times New Roman" w:cs="Times New Roman"/>
          <w:color w:val="auto"/>
          <w:sz w:val="24"/>
          <w:szCs w:val="24"/>
        </w:rPr>
        <w:t xml:space="preserve"> colleges) </w:t>
      </w:r>
      <w:r w:rsidR="00D60C07" w:rsidRPr="009C0EDA">
        <w:rPr>
          <w:rFonts w:ascii="Times New Roman" w:eastAsia="Arial Unicode MS" w:hAnsi="Times New Roman" w:cs="Times New Roman"/>
          <w:color w:val="auto"/>
          <w:sz w:val="24"/>
          <w:szCs w:val="24"/>
        </w:rPr>
        <w:t xml:space="preserve">between Fall semester 2000 </w:t>
      </w:r>
      <w:r w:rsidR="0066274B" w:rsidRPr="009C0EDA">
        <w:rPr>
          <w:rFonts w:ascii="Times New Roman" w:eastAsia="Arial Unicode MS" w:hAnsi="Times New Roman" w:cs="Times New Roman"/>
          <w:color w:val="auto"/>
          <w:sz w:val="24"/>
          <w:szCs w:val="24"/>
        </w:rPr>
        <w:t xml:space="preserve">and </w:t>
      </w:r>
      <w:r w:rsidR="007D5B6C">
        <w:rPr>
          <w:rFonts w:ascii="Times New Roman" w:eastAsia="Arial Unicode MS" w:hAnsi="Times New Roman" w:cs="Times New Roman"/>
          <w:color w:val="auto"/>
          <w:sz w:val="24"/>
          <w:szCs w:val="24"/>
        </w:rPr>
        <w:t>Summer</w:t>
      </w:r>
      <w:r w:rsidR="0066274B" w:rsidRPr="009C0EDA">
        <w:rPr>
          <w:rFonts w:ascii="Times New Roman" w:eastAsia="Arial Unicode MS" w:hAnsi="Times New Roman" w:cs="Times New Roman"/>
          <w:color w:val="auto"/>
          <w:sz w:val="24"/>
          <w:szCs w:val="24"/>
        </w:rPr>
        <w:t xml:space="preserve"> semester 2009</w:t>
      </w:r>
      <w:r w:rsidR="0066274B" w:rsidRPr="00113507">
        <w:rPr>
          <w:rFonts w:ascii="Times New Roman" w:eastAsia="Arial Unicode MS" w:hAnsi="Times New Roman" w:cs="Times New Roman"/>
          <w:color w:val="auto"/>
          <w:sz w:val="24"/>
          <w:szCs w:val="24"/>
        </w:rPr>
        <w:t xml:space="preserve">, </w:t>
      </w:r>
      <w:r w:rsidR="001E28F1" w:rsidRPr="00113507">
        <w:rPr>
          <w:rFonts w:ascii="Times New Roman" w:eastAsia="Arial Unicode MS" w:hAnsi="Times New Roman" w:cs="Times New Roman"/>
          <w:color w:val="auto"/>
          <w:sz w:val="24"/>
          <w:szCs w:val="24"/>
        </w:rPr>
        <w:t xml:space="preserve">and </w:t>
      </w:r>
      <w:r w:rsidR="00EE041F" w:rsidRPr="009C0EDA">
        <w:rPr>
          <w:rFonts w:ascii="Times New Roman" w:eastAsia="Arial Unicode MS" w:hAnsi="Times New Roman" w:cs="Times New Roman"/>
          <w:color w:val="auto"/>
          <w:sz w:val="24"/>
          <w:szCs w:val="24"/>
        </w:rPr>
        <w:t xml:space="preserve">who </w:t>
      </w:r>
      <w:r w:rsidR="001E28F1" w:rsidRPr="009C0EDA">
        <w:rPr>
          <w:rFonts w:ascii="Times New Roman" w:eastAsia="Arial Unicode MS" w:hAnsi="Times New Roman" w:cs="Times New Roman"/>
          <w:color w:val="auto"/>
          <w:sz w:val="24"/>
          <w:szCs w:val="24"/>
        </w:rPr>
        <w:t xml:space="preserve">reported </w:t>
      </w:r>
      <w:r w:rsidR="00D60C07" w:rsidRPr="009C0EDA">
        <w:rPr>
          <w:rFonts w:ascii="Times New Roman" w:eastAsia="Arial Unicode MS" w:hAnsi="Times New Roman" w:cs="Times New Roman"/>
          <w:color w:val="auto"/>
          <w:sz w:val="24"/>
          <w:szCs w:val="24"/>
        </w:rPr>
        <w:t xml:space="preserve">a valid social security number </w:t>
      </w:r>
      <w:r w:rsidR="001E28F1" w:rsidRPr="002B710B">
        <w:rPr>
          <w:rFonts w:ascii="Times New Roman" w:eastAsia="Arial Unicode MS" w:hAnsi="Times New Roman" w:cs="Times New Roman"/>
          <w:color w:val="auto"/>
          <w:sz w:val="24"/>
          <w:szCs w:val="24"/>
        </w:rPr>
        <w:t xml:space="preserve">at entry </w:t>
      </w:r>
      <w:r w:rsidR="00D60C07" w:rsidRPr="002B710B">
        <w:rPr>
          <w:rFonts w:ascii="Times New Roman" w:eastAsia="Arial Unicode MS" w:hAnsi="Times New Roman" w:cs="Times New Roman"/>
          <w:color w:val="auto"/>
          <w:sz w:val="24"/>
          <w:szCs w:val="24"/>
        </w:rPr>
        <w:t>(</w:t>
      </w:r>
      <w:r w:rsidR="00D60C07" w:rsidRPr="002B710B">
        <w:rPr>
          <w:rFonts w:ascii="Times New Roman" w:eastAsia="Arial Unicode MS" w:hAnsi="Times New Roman" w:cs="Times New Roman"/>
          <w:i/>
          <w:color w:val="auto"/>
          <w:sz w:val="24"/>
          <w:szCs w:val="24"/>
        </w:rPr>
        <w:t>N=</w:t>
      </w:r>
      <w:r w:rsidR="00D60C07" w:rsidRPr="002B710B">
        <w:rPr>
          <w:rFonts w:ascii="Times New Roman" w:eastAsia="Arial Unicode MS" w:hAnsi="Times New Roman" w:cs="Times New Roman"/>
          <w:color w:val="auto"/>
          <w:sz w:val="24"/>
          <w:szCs w:val="24"/>
        </w:rPr>
        <w:t>2,</w:t>
      </w:r>
      <w:r w:rsidR="0066274B" w:rsidRPr="002B710B">
        <w:rPr>
          <w:rFonts w:ascii="Times New Roman" w:eastAsia="Arial Unicode MS" w:hAnsi="Times New Roman" w:cs="Times New Roman"/>
          <w:color w:val="auto"/>
          <w:sz w:val="24"/>
          <w:szCs w:val="24"/>
        </w:rPr>
        <w:t xml:space="preserve">982,166).  We track all </w:t>
      </w:r>
      <w:r w:rsidRPr="002B710B">
        <w:rPr>
          <w:rFonts w:ascii="Times New Roman" w:eastAsia="Arial Unicode MS" w:hAnsi="Times New Roman" w:cs="Times New Roman"/>
          <w:color w:val="auto"/>
          <w:sz w:val="24"/>
          <w:szCs w:val="24"/>
        </w:rPr>
        <w:t>course</w:t>
      </w:r>
      <w:r w:rsidR="00D60C07" w:rsidRPr="002B710B">
        <w:rPr>
          <w:rFonts w:ascii="Times New Roman" w:eastAsia="Arial Unicode MS" w:hAnsi="Times New Roman" w:cs="Times New Roman"/>
          <w:color w:val="auto"/>
          <w:sz w:val="24"/>
          <w:szCs w:val="24"/>
        </w:rPr>
        <w:t>-</w:t>
      </w:r>
      <w:r w:rsidRPr="002B710B">
        <w:rPr>
          <w:rFonts w:ascii="Times New Roman" w:eastAsia="Arial Unicode MS" w:hAnsi="Times New Roman" w:cs="Times New Roman"/>
          <w:color w:val="auto"/>
          <w:sz w:val="24"/>
          <w:szCs w:val="24"/>
        </w:rPr>
        <w:t xml:space="preserve">taking </w:t>
      </w:r>
      <w:r w:rsidR="001E28F1" w:rsidRPr="002B710B">
        <w:rPr>
          <w:rFonts w:ascii="Times New Roman" w:eastAsia="Arial Unicode MS" w:hAnsi="Times New Roman" w:cs="Times New Roman"/>
          <w:color w:val="auto"/>
          <w:sz w:val="24"/>
          <w:szCs w:val="24"/>
        </w:rPr>
        <w:t xml:space="preserve">by these students </w:t>
      </w:r>
      <w:r w:rsidRPr="002B710B">
        <w:rPr>
          <w:rFonts w:ascii="Times New Roman" w:eastAsia="Arial Unicode MS" w:hAnsi="Times New Roman" w:cs="Times New Roman"/>
          <w:color w:val="auto"/>
          <w:sz w:val="24"/>
          <w:szCs w:val="24"/>
        </w:rPr>
        <w:t xml:space="preserve">through </w:t>
      </w:r>
      <w:r w:rsidR="00D60C07" w:rsidRPr="002B710B">
        <w:rPr>
          <w:rFonts w:ascii="Times New Roman" w:eastAsia="Arial Unicode MS" w:hAnsi="Times New Roman" w:cs="Times New Roman"/>
          <w:color w:val="auto"/>
          <w:sz w:val="24"/>
          <w:szCs w:val="24"/>
        </w:rPr>
        <w:t xml:space="preserve">the </w:t>
      </w:r>
      <w:proofErr w:type="gramStart"/>
      <w:r w:rsidR="001E28F1" w:rsidRPr="002B710B">
        <w:rPr>
          <w:rFonts w:ascii="Times New Roman" w:eastAsia="Arial Unicode MS" w:hAnsi="Times New Roman" w:cs="Times New Roman"/>
          <w:color w:val="auto"/>
          <w:sz w:val="24"/>
          <w:szCs w:val="24"/>
        </w:rPr>
        <w:t>S</w:t>
      </w:r>
      <w:r w:rsidR="007372CE" w:rsidRPr="002B710B">
        <w:rPr>
          <w:rFonts w:ascii="Times New Roman" w:eastAsia="Arial Unicode MS" w:hAnsi="Times New Roman" w:cs="Times New Roman"/>
          <w:color w:val="auto"/>
          <w:sz w:val="24"/>
          <w:szCs w:val="24"/>
        </w:rPr>
        <w:t>pring</w:t>
      </w:r>
      <w:proofErr w:type="gramEnd"/>
      <w:r w:rsidR="00D60C07" w:rsidRPr="002B710B">
        <w:rPr>
          <w:rFonts w:ascii="Times New Roman" w:eastAsia="Arial Unicode MS" w:hAnsi="Times New Roman" w:cs="Times New Roman"/>
          <w:color w:val="auto"/>
          <w:sz w:val="24"/>
          <w:szCs w:val="24"/>
        </w:rPr>
        <w:t xml:space="preserve"> semester </w:t>
      </w:r>
      <w:r w:rsidR="007372CE" w:rsidRPr="002B710B">
        <w:rPr>
          <w:rFonts w:ascii="Times New Roman" w:eastAsia="Arial Unicode MS" w:hAnsi="Times New Roman" w:cs="Times New Roman"/>
          <w:color w:val="auto"/>
          <w:sz w:val="24"/>
          <w:szCs w:val="24"/>
        </w:rPr>
        <w:t xml:space="preserve">of </w:t>
      </w:r>
      <w:r w:rsidR="00D60C07" w:rsidRPr="002B710B">
        <w:rPr>
          <w:rFonts w:ascii="Times New Roman" w:eastAsia="Arial Unicode MS" w:hAnsi="Times New Roman" w:cs="Times New Roman"/>
          <w:color w:val="auto"/>
          <w:sz w:val="24"/>
          <w:szCs w:val="24"/>
        </w:rPr>
        <w:t>2014 to allow for</w:t>
      </w:r>
      <w:r w:rsidR="0066274B" w:rsidRPr="002B710B">
        <w:rPr>
          <w:rFonts w:ascii="Times New Roman" w:eastAsia="Arial Unicode MS" w:hAnsi="Times New Roman" w:cs="Times New Roman"/>
          <w:color w:val="auto"/>
          <w:sz w:val="24"/>
          <w:szCs w:val="24"/>
        </w:rPr>
        <w:t xml:space="preserve"> a minimum of</w:t>
      </w:r>
      <w:r w:rsidR="00D60C07" w:rsidRPr="002B710B">
        <w:rPr>
          <w:rFonts w:ascii="Times New Roman" w:eastAsia="Arial Unicode MS" w:hAnsi="Times New Roman" w:cs="Times New Roman"/>
          <w:color w:val="auto"/>
          <w:sz w:val="24"/>
          <w:szCs w:val="24"/>
        </w:rPr>
        <w:t xml:space="preserve"> five </w:t>
      </w:r>
      <w:r w:rsidR="00EE041F" w:rsidRPr="002B710B">
        <w:rPr>
          <w:rFonts w:ascii="Times New Roman" w:eastAsia="Arial Unicode MS" w:hAnsi="Times New Roman" w:cs="Times New Roman"/>
          <w:color w:val="auto"/>
          <w:sz w:val="24"/>
          <w:szCs w:val="24"/>
        </w:rPr>
        <w:t xml:space="preserve">observed </w:t>
      </w:r>
      <w:r w:rsidR="00D60C07" w:rsidRPr="002B710B">
        <w:rPr>
          <w:rFonts w:ascii="Times New Roman" w:eastAsia="Arial Unicode MS" w:hAnsi="Times New Roman" w:cs="Times New Roman"/>
          <w:color w:val="auto"/>
          <w:sz w:val="24"/>
          <w:szCs w:val="24"/>
        </w:rPr>
        <w:t xml:space="preserve">years </w:t>
      </w:r>
      <w:r w:rsidR="001E28F1" w:rsidRPr="002B710B">
        <w:rPr>
          <w:rFonts w:ascii="Times New Roman" w:eastAsia="Arial Unicode MS" w:hAnsi="Times New Roman" w:cs="Times New Roman"/>
          <w:color w:val="auto"/>
          <w:sz w:val="24"/>
          <w:szCs w:val="24"/>
        </w:rPr>
        <w:t>of attendance</w:t>
      </w:r>
      <w:r w:rsidR="00D60C07" w:rsidRPr="002B710B">
        <w:rPr>
          <w:rFonts w:ascii="Times New Roman" w:eastAsia="Arial Unicode MS" w:hAnsi="Times New Roman" w:cs="Times New Roman"/>
          <w:color w:val="auto"/>
          <w:sz w:val="24"/>
          <w:szCs w:val="24"/>
        </w:rPr>
        <w:t>,</w:t>
      </w:r>
      <w:r w:rsidR="00163143">
        <w:rPr>
          <w:rFonts w:ascii="Times New Roman" w:eastAsia="Arial Unicode MS" w:hAnsi="Times New Roman" w:cs="Times New Roman"/>
          <w:color w:val="auto"/>
          <w:sz w:val="24"/>
          <w:szCs w:val="24"/>
        </w:rPr>
        <w:t xml:space="preserve"> which</w:t>
      </w:r>
      <w:r w:rsidR="00D60C07" w:rsidRPr="002B710B">
        <w:rPr>
          <w:rFonts w:ascii="Times New Roman" w:eastAsia="Arial Unicode MS" w:hAnsi="Times New Roman" w:cs="Times New Roman"/>
          <w:color w:val="auto"/>
          <w:sz w:val="24"/>
          <w:szCs w:val="24"/>
        </w:rPr>
        <w:t xml:space="preserve"> </w:t>
      </w:r>
      <w:r w:rsidR="00250E6C" w:rsidRPr="002B710B">
        <w:rPr>
          <w:rFonts w:ascii="Times New Roman" w:eastAsia="Arial Unicode MS" w:hAnsi="Times New Roman" w:cs="Times New Roman"/>
          <w:color w:val="auto"/>
          <w:sz w:val="24"/>
          <w:szCs w:val="24"/>
        </w:rPr>
        <w:t>account</w:t>
      </w:r>
      <w:r w:rsidR="00163143">
        <w:rPr>
          <w:rFonts w:ascii="Times New Roman" w:eastAsia="Arial Unicode MS" w:hAnsi="Times New Roman" w:cs="Times New Roman"/>
          <w:color w:val="auto"/>
          <w:sz w:val="24"/>
          <w:szCs w:val="24"/>
        </w:rPr>
        <w:t>s</w:t>
      </w:r>
      <w:r w:rsidR="00250E6C" w:rsidRPr="002B710B">
        <w:rPr>
          <w:rFonts w:ascii="Times New Roman" w:eastAsia="Arial Unicode MS" w:hAnsi="Times New Roman" w:cs="Times New Roman"/>
          <w:color w:val="auto"/>
          <w:sz w:val="24"/>
          <w:szCs w:val="24"/>
        </w:rPr>
        <w:t xml:space="preserve"> for the extended time to completion </w:t>
      </w:r>
      <w:r w:rsidR="00181BF1" w:rsidRPr="002B710B">
        <w:rPr>
          <w:rFonts w:ascii="Times New Roman" w:eastAsia="Arial Unicode MS" w:hAnsi="Times New Roman" w:cs="Times New Roman"/>
          <w:color w:val="auto"/>
          <w:sz w:val="24"/>
          <w:szCs w:val="24"/>
        </w:rPr>
        <w:t>common</w:t>
      </w:r>
      <w:r w:rsidR="001E28F1" w:rsidRPr="002B710B">
        <w:rPr>
          <w:rFonts w:ascii="Times New Roman" w:eastAsia="Arial Unicode MS" w:hAnsi="Times New Roman" w:cs="Times New Roman"/>
          <w:color w:val="auto"/>
          <w:sz w:val="24"/>
          <w:szCs w:val="24"/>
        </w:rPr>
        <w:t xml:space="preserve">ly observed in </w:t>
      </w:r>
      <w:r w:rsidR="00250E6C" w:rsidRPr="002B710B">
        <w:rPr>
          <w:rFonts w:ascii="Times New Roman" w:eastAsia="Arial Unicode MS" w:hAnsi="Times New Roman" w:cs="Times New Roman"/>
          <w:color w:val="auto"/>
          <w:sz w:val="24"/>
          <w:szCs w:val="24"/>
        </w:rPr>
        <w:t>community college</w:t>
      </w:r>
      <w:r w:rsidR="001E28F1" w:rsidRPr="002B710B">
        <w:rPr>
          <w:rFonts w:ascii="Times New Roman" w:eastAsia="Arial Unicode MS" w:hAnsi="Times New Roman" w:cs="Times New Roman"/>
          <w:color w:val="auto"/>
          <w:sz w:val="24"/>
          <w:szCs w:val="24"/>
        </w:rPr>
        <w:t>s</w:t>
      </w:r>
      <w:r w:rsidR="00250E6C" w:rsidRPr="002B710B">
        <w:rPr>
          <w:rFonts w:ascii="Times New Roman" w:eastAsia="Arial Unicode MS" w:hAnsi="Times New Roman" w:cs="Times New Roman"/>
          <w:color w:val="auto"/>
          <w:sz w:val="24"/>
          <w:szCs w:val="24"/>
        </w:rPr>
        <w:t xml:space="preserve"> </w:t>
      </w:r>
      <w:r w:rsidR="00D60C07" w:rsidRPr="002B710B">
        <w:rPr>
          <w:rFonts w:ascii="Times New Roman" w:eastAsia="Arial Unicode MS" w:hAnsi="Times New Roman" w:cs="Times New Roman"/>
          <w:color w:val="auto"/>
          <w:sz w:val="24"/>
          <w:szCs w:val="24"/>
        </w:rPr>
        <w:t>(</w:t>
      </w:r>
      <w:r w:rsidR="00250E6C" w:rsidRPr="002B710B">
        <w:rPr>
          <w:rFonts w:ascii="Times New Roman" w:eastAsia="Arial Unicode MS" w:hAnsi="Times New Roman" w:cs="Times New Roman"/>
          <w:color w:val="auto"/>
          <w:sz w:val="24"/>
          <w:szCs w:val="24"/>
        </w:rPr>
        <w:t xml:space="preserve">Shapiro </w:t>
      </w:r>
      <w:r w:rsidR="004256A1">
        <w:rPr>
          <w:rFonts w:ascii="Times New Roman" w:eastAsia="Arial Unicode MS" w:hAnsi="Times New Roman" w:cs="Times New Roman"/>
          <w:color w:val="auto"/>
          <w:sz w:val="24"/>
          <w:szCs w:val="24"/>
        </w:rPr>
        <w:t>et al.</w:t>
      </w:r>
      <w:r w:rsidR="00250E6C" w:rsidRPr="002B710B">
        <w:rPr>
          <w:rFonts w:ascii="Times New Roman" w:eastAsia="Arial Unicode MS" w:hAnsi="Times New Roman" w:cs="Times New Roman"/>
          <w:color w:val="auto"/>
          <w:sz w:val="24"/>
          <w:szCs w:val="24"/>
        </w:rPr>
        <w:t>, 2015</w:t>
      </w:r>
      <w:r w:rsidR="00250E6C" w:rsidRPr="00113507">
        <w:rPr>
          <w:rFonts w:ascii="Times New Roman" w:eastAsia="Arial Unicode MS" w:hAnsi="Times New Roman" w:cs="Times New Roman"/>
          <w:color w:val="auto"/>
          <w:sz w:val="24"/>
          <w:szCs w:val="24"/>
        </w:rPr>
        <w:t xml:space="preserve">).  </w:t>
      </w:r>
    </w:p>
    <w:p w14:paraId="02A8C1E2" w14:textId="77777777" w:rsidR="009C39FD" w:rsidRDefault="00EE041F">
      <w:pPr>
        <w:spacing w:after="0" w:line="480" w:lineRule="auto"/>
        <w:ind w:firstLine="720"/>
        <w:rPr>
          <w:rFonts w:ascii="Times New Roman" w:eastAsia="Arial Unicode MS" w:hAnsi="Times New Roman" w:cs="Times New Roman"/>
          <w:color w:val="auto"/>
          <w:sz w:val="24"/>
          <w:szCs w:val="24"/>
        </w:rPr>
      </w:pPr>
      <w:r w:rsidRPr="002B710B">
        <w:rPr>
          <w:rFonts w:ascii="Times New Roman" w:eastAsia="Arial Unicode MS" w:hAnsi="Times New Roman" w:cs="Times New Roman"/>
          <w:color w:val="auto"/>
          <w:sz w:val="24"/>
          <w:szCs w:val="24"/>
        </w:rPr>
        <w:t xml:space="preserve">We then narrowed our focus </w:t>
      </w:r>
      <w:r w:rsidR="006D120C">
        <w:rPr>
          <w:rFonts w:ascii="Times New Roman" w:eastAsia="Arial Unicode MS" w:hAnsi="Times New Roman" w:cs="Times New Roman"/>
          <w:color w:val="auto"/>
          <w:sz w:val="24"/>
          <w:szCs w:val="24"/>
        </w:rPr>
        <w:t xml:space="preserve">to students </w:t>
      </w:r>
      <w:r w:rsidRPr="002B710B">
        <w:rPr>
          <w:rFonts w:ascii="Times New Roman" w:eastAsia="Arial Unicode MS" w:hAnsi="Times New Roman" w:cs="Times New Roman"/>
          <w:color w:val="auto"/>
          <w:sz w:val="24"/>
          <w:szCs w:val="24"/>
        </w:rPr>
        <w:t xml:space="preserve">who enrolled in </w:t>
      </w:r>
      <w:r w:rsidR="008D530A" w:rsidRPr="002B710B">
        <w:rPr>
          <w:rFonts w:ascii="Times New Roman" w:eastAsia="Arial Unicode MS" w:hAnsi="Times New Roman" w:cs="Times New Roman"/>
          <w:color w:val="auto"/>
          <w:sz w:val="24"/>
          <w:szCs w:val="24"/>
        </w:rPr>
        <w:t xml:space="preserve">least one </w:t>
      </w:r>
      <w:r w:rsidRPr="002B710B">
        <w:rPr>
          <w:rFonts w:ascii="Times New Roman" w:eastAsia="Arial Unicode MS" w:hAnsi="Times New Roman" w:cs="Times New Roman"/>
          <w:color w:val="auto"/>
          <w:sz w:val="24"/>
          <w:szCs w:val="24"/>
        </w:rPr>
        <w:t>transferrable</w:t>
      </w:r>
      <w:r w:rsidR="008D530A" w:rsidRPr="002B710B">
        <w:rPr>
          <w:rFonts w:ascii="Times New Roman" w:eastAsia="Arial Unicode MS" w:hAnsi="Times New Roman" w:cs="Times New Roman"/>
          <w:color w:val="auto"/>
          <w:sz w:val="24"/>
          <w:szCs w:val="24"/>
        </w:rPr>
        <w:t xml:space="preserve"> course in one of six </w:t>
      </w:r>
      <w:r w:rsidR="009C0EDA">
        <w:rPr>
          <w:rFonts w:ascii="Times New Roman" w:eastAsia="Arial Unicode MS" w:hAnsi="Times New Roman" w:cs="Times New Roman"/>
          <w:color w:val="auto"/>
          <w:sz w:val="24"/>
          <w:szCs w:val="24"/>
        </w:rPr>
        <w:t xml:space="preserve">core </w:t>
      </w:r>
      <w:r w:rsidR="008D530A" w:rsidRPr="009C0EDA">
        <w:rPr>
          <w:rFonts w:ascii="Times New Roman" w:eastAsia="Arial Unicode MS" w:hAnsi="Times New Roman" w:cs="Times New Roman"/>
          <w:color w:val="auto"/>
          <w:sz w:val="24"/>
          <w:szCs w:val="24"/>
        </w:rPr>
        <w:t>STEM fields</w:t>
      </w:r>
      <w:r w:rsidR="001E28F1" w:rsidRPr="009C0EDA">
        <w:rPr>
          <w:rFonts w:ascii="Times New Roman" w:eastAsia="Arial Unicode MS" w:hAnsi="Times New Roman" w:cs="Times New Roman"/>
          <w:color w:val="auto"/>
          <w:sz w:val="24"/>
          <w:szCs w:val="24"/>
        </w:rPr>
        <w:t xml:space="preserve"> --- </w:t>
      </w:r>
      <w:r w:rsidR="008D530A" w:rsidRPr="009C0EDA">
        <w:rPr>
          <w:rFonts w:ascii="Times New Roman" w:eastAsia="Arial Unicode MS" w:hAnsi="Times New Roman" w:cs="Times New Roman"/>
          <w:color w:val="auto"/>
          <w:sz w:val="24"/>
          <w:szCs w:val="24"/>
        </w:rPr>
        <w:t xml:space="preserve">math, chemistry, physics, biology, computer science, </w:t>
      </w:r>
      <w:r w:rsidRPr="002B710B">
        <w:rPr>
          <w:rFonts w:ascii="Times New Roman" w:eastAsia="Arial Unicode MS" w:hAnsi="Times New Roman" w:cs="Times New Roman"/>
          <w:color w:val="auto"/>
          <w:sz w:val="24"/>
          <w:szCs w:val="24"/>
        </w:rPr>
        <w:t xml:space="preserve">or </w:t>
      </w:r>
      <w:r w:rsidR="008D530A" w:rsidRPr="002B710B">
        <w:rPr>
          <w:rFonts w:ascii="Times New Roman" w:eastAsia="Arial Unicode MS" w:hAnsi="Times New Roman" w:cs="Times New Roman"/>
          <w:color w:val="auto"/>
          <w:sz w:val="24"/>
          <w:szCs w:val="24"/>
        </w:rPr>
        <w:t>engineering</w:t>
      </w:r>
      <w:r w:rsidR="001E28F1" w:rsidRPr="002B710B">
        <w:rPr>
          <w:rFonts w:ascii="Times New Roman" w:eastAsia="Arial Unicode MS" w:hAnsi="Times New Roman" w:cs="Times New Roman"/>
          <w:color w:val="auto"/>
          <w:sz w:val="24"/>
          <w:szCs w:val="24"/>
        </w:rPr>
        <w:t xml:space="preserve"> --- </w:t>
      </w:r>
      <w:r w:rsidR="008D530A" w:rsidRPr="002B710B">
        <w:rPr>
          <w:rFonts w:ascii="Times New Roman" w:eastAsia="Arial Unicode MS" w:hAnsi="Times New Roman" w:cs="Times New Roman"/>
          <w:color w:val="auto"/>
          <w:sz w:val="24"/>
          <w:szCs w:val="24"/>
        </w:rPr>
        <w:t xml:space="preserve">which resulted in </w:t>
      </w:r>
      <w:r w:rsidR="001E28F1" w:rsidRPr="002B710B">
        <w:rPr>
          <w:rFonts w:ascii="Times New Roman" w:eastAsia="Arial Unicode MS" w:hAnsi="Times New Roman" w:cs="Times New Roman"/>
          <w:color w:val="auto"/>
          <w:sz w:val="24"/>
          <w:szCs w:val="24"/>
        </w:rPr>
        <w:t xml:space="preserve">an analytical sample of </w:t>
      </w:r>
      <w:r w:rsidR="008D530A" w:rsidRPr="002B710B">
        <w:rPr>
          <w:rFonts w:ascii="Times New Roman" w:eastAsia="Arial Unicode MS" w:hAnsi="Times New Roman" w:cs="Times New Roman"/>
          <w:color w:val="auto"/>
          <w:sz w:val="24"/>
          <w:szCs w:val="24"/>
        </w:rPr>
        <w:t>just over one million students (</w:t>
      </w:r>
      <w:r w:rsidR="008D530A" w:rsidRPr="002B710B">
        <w:rPr>
          <w:rFonts w:ascii="Times New Roman" w:eastAsia="Arial Unicode MS" w:hAnsi="Times New Roman" w:cs="Times New Roman"/>
          <w:i/>
          <w:color w:val="auto"/>
          <w:sz w:val="24"/>
          <w:szCs w:val="24"/>
        </w:rPr>
        <w:t>N=</w:t>
      </w:r>
      <w:r w:rsidR="008D530A" w:rsidRPr="002B710B">
        <w:rPr>
          <w:rFonts w:ascii="Times New Roman" w:eastAsia="Arial Unicode MS" w:hAnsi="Times New Roman" w:cs="Times New Roman"/>
          <w:color w:val="auto"/>
          <w:sz w:val="24"/>
          <w:szCs w:val="24"/>
        </w:rPr>
        <w:t>1,003,987).</w:t>
      </w:r>
      <w:r w:rsidR="008D530A" w:rsidRPr="00113507">
        <w:rPr>
          <w:rFonts w:ascii="Times New Roman" w:eastAsia="Arial Unicode MS" w:hAnsi="Times New Roman" w:cs="Times New Roman"/>
          <w:color w:val="auto"/>
          <w:sz w:val="24"/>
          <w:szCs w:val="24"/>
        </w:rPr>
        <w:t xml:space="preserve"> </w:t>
      </w:r>
      <w:r w:rsidR="00B458BA" w:rsidRPr="00113507">
        <w:rPr>
          <w:rFonts w:ascii="Times New Roman" w:eastAsia="Arial Unicode MS" w:hAnsi="Times New Roman" w:cs="Times New Roman"/>
          <w:color w:val="auto"/>
          <w:sz w:val="24"/>
          <w:szCs w:val="24"/>
        </w:rPr>
        <w:t xml:space="preserve"> </w:t>
      </w:r>
      <w:r w:rsidR="009C0EDA">
        <w:rPr>
          <w:rFonts w:ascii="Times New Roman" w:eastAsia="Arial Unicode MS" w:hAnsi="Times New Roman" w:cs="Times New Roman"/>
          <w:color w:val="auto"/>
          <w:sz w:val="24"/>
          <w:szCs w:val="24"/>
        </w:rPr>
        <w:t xml:space="preserve">We define transferrable STEM courses as did Bahr and his colleagues (2016) as </w:t>
      </w:r>
      <w:r w:rsidR="00D05861">
        <w:rPr>
          <w:rFonts w:ascii="Times New Roman" w:eastAsia="Arial Unicode MS" w:hAnsi="Times New Roman" w:cs="Times New Roman"/>
          <w:color w:val="auto"/>
          <w:sz w:val="24"/>
          <w:szCs w:val="24"/>
        </w:rPr>
        <w:t xml:space="preserve">lower-division </w:t>
      </w:r>
      <w:r w:rsidR="009C0EDA" w:rsidRPr="00106E5E">
        <w:rPr>
          <w:rFonts w:ascii="Times New Roman" w:hAnsi="Times New Roman" w:cs="Times New Roman"/>
          <w:sz w:val="24"/>
          <w:szCs w:val="24"/>
        </w:rPr>
        <w:t xml:space="preserve">courses </w:t>
      </w:r>
      <w:r w:rsidR="00D05861">
        <w:rPr>
          <w:rFonts w:ascii="Times New Roman" w:hAnsi="Times New Roman" w:cs="Times New Roman"/>
          <w:sz w:val="24"/>
          <w:szCs w:val="24"/>
        </w:rPr>
        <w:t xml:space="preserve">offered by the </w:t>
      </w:r>
      <w:r w:rsidR="006D120C">
        <w:rPr>
          <w:rFonts w:ascii="Times New Roman" w:hAnsi="Times New Roman" w:cs="Times New Roman"/>
          <w:sz w:val="24"/>
          <w:szCs w:val="24"/>
        </w:rPr>
        <w:t xml:space="preserve">CCC system </w:t>
      </w:r>
      <w:r w:rsidR="00D05861">
        <w:rPr>
          <w:rFonts w:ascii="Times New Roman" w:hAnsi="Times New Roman" w:cs="Times New Roman"/>
          <w:sz w:val="24"/>
          <w:szCs w:val="24"/>
        </w:rPr>
        <w:t xml:space="preserve">colleges </w:t>
      </w:r>
      <w:r w:rsidR="009C0EDA" w:rsidRPr="00106E5E">
        <w:rPr>
          <w:rFonts w:ascii="Times New Roman" w:hAnsi="Times New Roman" w:cs="Times New Roman"/>
          <w:sz w:val="24"/>
          <w:szCs w:val="24"/>
        </w:rPr>
        <w:t xml:space="preserve">accepted by the </w:t>
      </w:r>
      <w:r w:rsidR="00D05861">
        <w:rPr>
          <w:rFonts w:ascii="Times New Roman" w:hAnsi="Times New Roman" w:cs="Times New Roman"/>
          <w:sz w:val="24"/>
          <w:szCs w:val="24"/>
        </w:rPr>
        <w:t xml:space="preserve">institutions of the </w:t>
      </w:r>
      <w:r w:rsidR="009C0EDA" w:rsidRPr="00106E5E">
        <w:rPr>
          <w:rFonts w:ascii="Times New Roman" w:hAnsi="Times New Roman" w:cs="Times New Roman"/>
          <w:sz w:val="24"/>
          <w:szCs w:val="24"/>
        </w:rPr>
        <w:lastRenderedPageBreak/>
        <w:t xml:space="preserve">California State University </w:t>
      </w:r>
      <w:r w:rsidR="002B710B">
        <w:rPr>
          <w:rFonts w:ascii="Times New Roman" w:hAnsi="Times New Roman" w:cs="Times New Roman"/>
          <w:sz w:val="24"/>
          <w:szCs w:val="24"/>
        </w:rPr>
        <w:t xml:space="preserve">(CSU) </w:t>
      </w:r>
      <w:r w:rsidR="009C0EDA" w:rsidRPr="00106E5E">
        <w:rPr>
          <w:rFonts w:ascii="Times New Roman" w:hAnsi="Times New Roman" w:cs="Times New Roman"/>
          <w:sz w:val="24"/>
          <w:szCs w:val="24"/>
        </w:rPr>
        <w:t xml:space="preserve">system for either general education credit or major credit in the field </w:t>
      </w:r>
      <w:r w:rsidR="009C0EDA">
        <w:rPr>
          <w:rFonts w:ascii="Times New Roman" w:hAnsi="Times New Roman" w:cs="Times New Roman"/>
          <w:sz w:val="24"/>
          <w:szCs w:val="24"/>
        </w:rPr>
        <w:t xml:space="preserve">of study in which </w:t>
      </w:r>
      <w:r w:rsidR="009C0EDA" w:rsidRPr="00106E5E">
        <w:rPr>
          <w:rFonts w:ascii="Times New Roman" w:hAnsi="Times New Roman" w:cs="Times New Roman"/>
          <w:sz w:val="24"/>
          <w:szCs w:val="24"/>
        </w:rPr>
        <w:t>the course is located</w:t>
      </w:r>
      <w:r w:rsidR="009C0EDA">
        <w:rPr>
          <w:rFonts w:ascii="Times New Roman" w:hAnsi="Times New Roman" w:cs="Times New Roman"/>
          <w:sz w:val="24"/>
          <w:szCs w:val="24"/>
        </w:rPr>
        <w:t xml:space="preserve">.  For a detailed discussion of this definition, </w:t>
      </w:r>
      <w:r w:rsidR="006D120C">
        <w:rPr>
          <w:rFonts w:ascii="Times New Roman" w:hAnsi="Times New Roman" w:cs="Times New Roman"/>
          <w:sz w:val="24"/>
          <w:szCs w:val="24"/>
        </w:rPr>
        <w:t xml:space="preserve">including its strengths and weaknesses, </w:t>
      </w:r>
      <w:r w:rsidR="009C0EDA">
        <w:rPr>
          <w:rFonts w:ascii="Times New Roman" w:hAnsi="Times New Roman" w:cs="Times New Roman"/>
          <w:sz w:val="24"/>
          <w:szCs w:val="24"/>
        </w:rPr>
        <w:t xml:space="preserve">see Bahr, et al., (2016, p. </w:t>
      </w:r>
      <w:commentRangeStart w:id="1"/>
      <w:r w:rsidR="00724526">
        <w:rPr>
          <w:rFonts w:ascii="Times New Roman" w:hAnsi="Times New Roman" w:cs="Times New Roman"/>
          <w:sz w:val="24"/>
          <w:szCs w:val="24"/>
        </w:rPr>
        <w:t>10</w:t>
      </w:r>
      <w:commentRangeEnd w:id="1"/>
      <w:r w:rsidR="00724526">
        <w:rPr>
          <w:rStyle w:val="CommentReference"/>
        </w:rPr>
        <w:commentReference w:id="1"/>
      </w:r>
      <w:r w:rsidR="009C0EDA">
        <w:rPr>
          <w:rFonts w:ascii="Times New Roman" w:hAnsi="Times New Roman" w:cs="Times New Roman"/>
          <w:sz w:val="24"/>
          <w:szCs w:val="24"/>
        </w:rPr>
        <w:t>).</w:t>
      </w:r>
    </w:p>
    <w:p w14:paraId="1F22AB6F" w14:textId="77777777" w:rsidR="009C39FD" w:rsidRDefault="00B458BA">
      <w:pPr>
        <w:spacing w:after="0" w:line="480" w:lineRule="auto"/>
        <w:rPr>
          <w:rFonts w:ascii="Times New Roman" w:eastAsia="Arial Unicode MS" w:hAnsi="Times New Roman" w:cs="Times New Roman"/>
          <w:color w:val="auto"/>
          <w:sz w:val="24"/>
          <w:szCs w:val="24"/>
        </w:rPr>
      </w:pPr>
      <w:r w:rsidRPr="009C0EDA">
        <w:rPr>
          <w:rFonts w:ascii="Times New Roman" w:eastAsia="Arial Unicode MS" w:hAnsi="Times New Roman" w:cs="Times New Roman"/>
          <w:b/>
          <w:color w:val="auto"/>
          <w:sz w:val="24"/>
          <w:szCs w:val="24"/>
        </w:rPr>
        <w:t>Interdiscipli</w:t>
      </w:r>
      <w:r w:rsidRPr="002B710B">
        <w:rPr>
          <w:rFonts w:ascii="Times New Roman" w:eastAsia="Arial Unicode MS" w:hAnsi="Times New Roman" w:cs="Times New Roman"/>
          <w:b/>
          <w:color w:val="auto"/>
          <w:sz w:val="24"/>
          <w:szCs w:val="24"/>
        </w:rPr>
        <w:t>nary Course Pairs</w:t>
      </w:r>
    </w:p>
    <w:p w14:paraId="10177AE0" w14:textId="77777777" w:rsidR="004925B7" w:rsidRDefault="00781D3E" w:rsidP="00163143">
      <w:pPr>
        <w:widowControl w:val="0"/>
        <w:spacing w:after="0" w:line="480" w:lineRule="auto"/>
        <w:rPr>
          <w:rFonts w:ascii="Times New Roman" w:eastAsia="Arial Unicode MS" w:hAnsi="Times New Roman" w:cs="Times New Roman"/>
          <w:color w:val="auto"/>
          <w:sz w:val="24"/>
          <w:szCs w:val="24"/>
        </w:rPr>
      </w:pPr>
      <w:r>
        <w:rPr>
          <w:rStyle w:val="CommentReference"/>
        </w:rPr>
        <w:commentReference w:id="2"/>
      </w:r>
      <w:r w:rsidR="00163143">
        <w:rPr>
          <w:rFonts w:ascii="Times New Roman" w:eastAsia="Arial Unicode MS" w:hAnsi="Times New Roman" w:cs="Times New Roman"/>
          <w:color w:val="auto"/>
          <w:sz w:val="24"/>
          <w:szCs w:val="24"/>
        </w:rPr>
        <w:tab/>
      </w:r>
      <w:r w:rsidR="0087428C">
        <w:rPr>
          <w:rFonts w:ascii="Times New Roman" w:eastAsia="Arial Unicode MS" w:hAnsi="Times New Roman" w:cs="Times New Roman"/>
          <w:color w:val="auto"/>
          <w:sz w:val="24"/>
          <w:szCs w:val="24"/>
        </w:rPr>
        <w:t xml:space="preserve">The </w:t>
      </w:r>
      <w:r w:rsidR="00FA5DA9">
        <w:rPr>
          <w:rFonts w:ascii="Times New Roman" w:eastAsia="Arial Unicode MS" w:hAnsi="Times New Roman" w:cs="Times New Roman"/>
          <w:color w:val="auto"/>
          <w:sz w:val="24"/>
          <w:szCs w:val="24"/>
        </w:rPr>
        <w:t xml:space="preserve">primary </w:t>
      </w:r>
      <w:r w:rsidR="0087428C">
        <w:rPr>
          <w:rFonts w:ascii="Times New Roman" w:eastAsia="Arial Unicode MS" w:hAnsi="Times New Roman" w:cs="Times New Roman"/>
          <w:color w:val="auto"/>
          <w:sz w:val="24"/>
          <w:szCs w:val="24"/>
        </w:rPr>
        <w:t xml:space="preserve">goal of this study was to identify the gatekeeping combinations of lower-division STEM courses that regulate access to the greatest number of </w:t>
      </w:r>
      <w:r w:rsidR="0087428C" w:rsidRPr="002B710B">
        <w:rPr>
          <w:rFonts w:ascii="Times New Roman" w:eastAsia="Arial Unicode MS" w:hAnsi="Times New Roman" w:cs="Times New Roman"/>
          <w:color w:val="auto"/>
          <w:sz w:val="24"/>
          <w:szCs w:val="24"/>
        </w:rPr>
        <w:t xml:space="preserve">STEM </w:t>
      </w:r>
      <w:r w:rsidR="0087428C">
        <w:rPr>
          <w:rFonts w:ascii="Times New Roman" w:eastAsia="Arial Unicode MS" w:hAnsi="Times New Roman" w:cs="Times New Roman"/>
          <w:color w:val="auto"/>
          <w:sz w:val="24"/>
          <w:szCs w:val="24"/>
        </w:rPr>
        <w:t xml:space="preserve">programs.  These course pairs, if not completed successfully by a student, foreclose opportunities to advance in multiple STEM </w:t>
      </w:r>
      <w:r w:rsidR="004925B7">
        <w:rPr>
          <w:rFonts w:ascii="Times New Roman" w:eastAsia="Arial Unicode MS" w:hAnsi="Times New Roman" w:cs="Times New Roman"/>
          <w:color w:val="auto"/>
          <w:sz w:val="24"/>
          <w:szCs w:val="24"/>
        </w:rPr>
        <w:t>degrees</w:t>
      </w:r>
      <w:r w:rsidR="0087428C">
        <w:rPr>
          <w:rFonts w:ascii="Times New Roman" w:eastAsia="Arial Unicode MS" w:hAnsi="Times New Roman" w:cs="Times New Roman"/>
          <w:color w:val="auto"/>
          <w:sz w:val="24"/>
          <w:szCs w:val="24"/>
        </w:rPr>
        <w:t xml:space="preserve">. </w:t>
      </w:r>
      <w:r w:rsidR="004925B7">
        <w:rPr>
          <w:rFonts w:ascii="Times New Roman" w:eastAsia="Arial Unicode MS" w:hAnsi="Times New Roman" w:cs="Times New Roman"/>
          <w:color w:val="auto"/>
          <w:sz w:val="24"/>
          <w:szCs w:val="24"/>
        </w:rPr>
        <w:t xml:space="preserve"> </w:t>
      </w:r>
      <w:r w:rsidR="00163143">
        <w:rPr>
          <w:rFonts w:ascii="Times New Roman" w:eastAsia="Arial Unicode MS" w:hAnsi="Times New Roman" w:cs="Times New Roman"/>
          <w:color w:val="auto"/>
          <w:sz w:val="24"/>
          <w:szCs w:val="24"/>
        </w:rPr>
        <w:t xml:space="preserve">By identifying these courses we will </w:t>
      </w:r>
      <w:r w:rsidR="0087428C">
        <w:rPr>
          <w:rFonts w:ascii="Times New Roman" w:eastAsia="Arial Unicode MS" w:hAnsi="Times New Roman" w:cs="Times New Roman"/>
          <w:color w:val="auto"/>
          <w:sz w:val="24"/>
          <w:szCs w:val="24"/>
        </w:rPr>
        <w:t>be able to focus our analysis on these critical combinations of courses</w:t>
      </w:r>
      <w:r w:rsidR="004925B7">
        <w:rPr>
          <w:rFonts w:ascii="Times New Roman" w:eastAsia="Arial Unicode MS" w:hAnsi="Times New Roman" w:cs="Times New Roman"/>
          <w:color w:val="auto"/>
          <w:sz w:val="24"/>
          <w:szCs w:val="24"/>
        </w:rPr>
        <w:t xml:space="preserve"> and see how course-</w:t>
      </w:r>
      <w:r w:rsidR="0087428C">
        <w:rPr>
          <w:rFonts w:ascii="Times New Roman" w:eastAsia="Arial Unicode MS" w:hAnsi="Times New Roman" w:cs="Times New Roman"/>
          <w:color w:val="auto"/>
          <w:sz w:val="24"/>
          <w:szCs w:val="24"/>
        </w:rPr>
        <w:t xml:space="preserve">taking behaviors associated with these courses is related to course success and student outcomes. </w:t>
      </w:r>
    </w:p>
    <w:p w14:paraId="6FD19AAB" w14:textId="77777777" w:rsidR="004925B7" w:rsidRDefault="0087428C" w:rsidP="004925B7">
      <w:pPr>
        <w:widowControl w:val="0"/>
        <w:spacing w:after="0" w:line="480" w:lineRule="auto"/>
        <w:ind w:firstLine="720"/>
        <w:rPr>
          <w:rFonts w:ascii="Times New Roman" w:eastAsia="Arial Unicode MS" w:hAnsi="Times New Roman" w:cs="Times New Roman"/>
          <w:color w:val="auto"/>
          <w:sz w:val="24"/>
          <w:szCs w:val="24"/>
        </w:rPr>
      </w:pPr>
      <w:r>
        <w:rPr>
          <w:rFonts w:ascii="Times New Roman" w:eastAsia="Arial Unicode MS" w:hAnsi="Times New Roman" w:cs="Times New Roman"/>
          <w:color w:val="auto"/>
          <w:sz w:val="24"/>
          <w:szCs w:val="24"/>
        </w:rPr>
        <w:t xml:space="preserve">In order to identify </w:t>
      </w:r>
      <w:r w:rsidR="004925B7">
        <w:rPr>
          <w:rFonts w:ascii="Times New Roman" w:eastAsia="Arial Unicode MS" w:hAnsi="Times New Roman" w:cs="Times New Roman"/>
          <w:color w:val="auto"/>
          <w:sz w:val="24"/>
          <w:szCs w:val="24"/>
        </w:rPr>
        <w:t>critical course combinations,</w:t>
      </w:r>
      <w:r>
        <w:rPr>
          <w:rFonts w:ascii="Times New Roman" w:eastAsia="Arial Unicode MS" w:hAnsi="Times New Roman" w:cs="Times New Roman"/>
          <w:color w:val="auto"/>
          <w:sz w:val="24"/>
          <w:szCs w:val="24"/>
        </w:rPr>
        <w:t xml:space="preserve"> we collected and analyzed three of the main resources community college students would have</w:t>
      </w:r>
      <w:r w:rsidR="004925B7">
        <w:rPr>
          <w:rFonts w:ascii="Times New Roman" w:eastAsia="Arial Unicode MS" w:hAnsi="Times New Roman" w:cs="Times New Roman"/>
          <w:color w:val="auto"/>
          <w:sz w:val="24"/>
          <w:szCs w:val="24"/>
        </w:rPr>
        <w:t>: 1) the 109 community college course catalogs from the California system, 2) th</w:t>
      </w:r>
      <w:r w:rsidR="00B27442">
        <w:rPr>
          <w:rFonts w:ascii="Times New Roman" w:eastAsia="Arial Unicode MS" w:hAnsi="Times New Roman" w:cs="Times New Roman"/>
          <w:color w:val="auto"/>
          <w:sz w:val="24"/>
          <w:szCs w:val="24"/>
        </w:rPr>
        <w:t>e college catalog</w:t>
      </w:r>
      <w:r w:rsidR="004925B7">
        <w:rPr>
          <w:rFonts w:ascii="Times New Roman" w:eastAsia="Arial Unicode MS" w:hAnsi="Times New Roman" w:cs="Times New Roman"/>
          <w:color w:val="auto"/>
          <w:sz w:val="24"/>
          <w:szCs w:val="24"/>
        </w:rPr>
        <w:t xml:space="preserve">s for the 23 California State Universities, and 3) </w:t>
      </w:r>
      <w:r w:rsidR="00B27442">
        <w:rPr>
          <w:rFonts w:ascii="Times New Roman" w:eastAsia="Arial Unicode MS" w:hAnsi="Times New Roman" w:cs="Times New Roman"/>
          <w:color w:val="auto"/>
          <w:sz w:val="24"/>
          <w:szCs w:val="24"/>
        </w:rPr>
        <w:t>the recently adopted Tr</w:t>
      </w:r>
      <w:r w:rsidR="004925B7">
        <w:rPr>
          <w:rFonts w:ascii="Times New Roman" w:eastAsia="Arial Unicode MS" w:hAnsi="Times New Roman" w:cs="Times New Roman"/>
          <w:color w:val="auto"/>
          <w:sz w:val="24"/>
          <w:szCs w:val="24"/>
        </w:rPr>
        <w:t>ansfer Model Curriculum (TMC). A careful review of these three resources</w:t>
      </w:r>
      <w:r w:rsidR="009F4B1B">
        <w:rPr>
          <w:rFonts w:ascii="Times New Roman" w:eastAsia="Arial Unicode MS" w:hAnsi="Times New Roman" w:cs="Times New Roman"/>
          <w:color w:val="auto"/>
          <w:sz w:val="24"/>
          <w:szCs w:val="24"/>
        </w:rPr>
        <w:t xml:space="preserve"> </w:t>
      </w:r>
      <w:r w:rsidR="004925B7">
        <w:rPr>
          <w:rFonts w:ascii="Times New Roman" w:eastAsia="Arial Unicode MS" w:hAnsi="Times New Roman" w:cs="Times New Roman"/>
          <w:color w:val="auto"/>
          <w:sz w:val="24"/>
          <w:szCs w:val="24"/>
        </w:rPr>
        <w:t>helped us</w:t>
      </w:r>
      <w:r w:rsidR="009F4B1B">
        <w:rPr>
          <w:rFonts w:ascii="Times New Roman" w:eastAsia="Arial Unicode MS" w:hAnsi="Times New Roman" w:cs="Times New Roman"/>
          <w:color w:val="auto"/>
          <w:sz w:val="24"/>
          <w:szCs w:val="24"/>
        </w:rPr>
        <w:t xml:space="preserve"> understand what STEM courses were needed in each STEM major, what courses were prerequisites to other STEM courses both in the same discipline and in other disciplines, and how students were intended to engage with the curriculum</w:t>
      </w:r>
      <w:r w:rsidR="004925B7">
        <w:rPr>
          <w:rFonts w:ascii="Times New Roman" w:eastAsia="Arial Unicode MS" w:hAnsi="Times New Roman" w:cs="Times New Roman"/>
          <w:color w:val="auto"/>
          <w:sz w:val="24"/>
          <w:szCs w:val="24"/>
        </w:rPr>
        <w:t>.</w:t>
      </w:r>
    </w:p>
    <w:p w14:paraId="57279445" w14:textId="77777777" w:rsidR="00726935" w:rsidRDefault="00B41BF7" w:rsidP="004925B7">
      <w:pPr>
        <w:widowControl w:val="0"/>
        <w:spacing w:after="0" w:line="480" w:lineRule="auto"/>
        <w:ind w:firstLine="720"/>
        <w:rPr>
          <w:rFonts w:ascii="Times New Roman" w:eastAsia="Arial Unicode MS" w:hAnsi="Times New Roman" w:cs="Times New Roman"/>
          <w:color w:val="auto"/>
          <w:sz w:val="24"/>
          <w:szCs w:val="24"/>
        </w:rPr>
      </w:pPr>
      <w:r>
        <w:rPr>
          <w:rFonts w:ascii="Times New Roman" w:eastAsia="Arial Unicode MS" w:hAnsi="Times New Roman" w:cs="Times New Roman"/>
          <w:color w:val="auto"/>
          <w:sz w:val="24"/>
          <w:szCs w:val="24"/>
        </w:rPr>
        <w:t xml:space="preserve">As a result of </w:t>
      </w:r>
      <w:r w:rsidR="009F4B1B">
        <w:rPr>
          <w:rFonts w:ascii="Times New Roman" w:eastAsia="Arial Unicode MS" w:hAnsi="Times New Roman" w:cs="Times New Roman"/>
          <w:color w:val="auto"/>
          <w:sz w:val="24"/>
          <w:szCs w:val="24"/>
        </w:rPr>
        <w:t>our</w:t>
      </w:r>
      <w:r>
        <w:rPr>
          <w:rFonts w:ascii="Times New Roman" w:eastAsia="Arial Unicode MS" w:hAnsi="Times New Roman" w:cs="Times New Roman"/>
          <w:color w:val="auto"/>
          <w:sz w:val="24"/>
          <w:szCs w:val="24"/>
        </w:rPr>
        <w:t xml:space="preserve"> process, we </w:t>
      </w:r>
      <w:r w:rsidR="009876CD">
        <w:rPr>
          <w:rFonts w:ascii="Times New Roman" w:eastAsia="Arial Unicode MS" w:hAnsi="Times New Roman" w:cs="Times New Roman"/>
          <w:color w:val="auto"/>
          <w:sz w:val="24"/>
          <w:szCs w:val="24"/>
        </w:rPr>
        <w:t xml:space="preserve">developed a set </w:t>
      </w:r>
      <w:r w:rsidR="00717E4E" w:rsidRPr="002B710B">
        <w:rPr>
          <w:rFonts w:ascii="Times New Roman" w:eastAsia="Arial Unicode MS" w:hAnsi="Times New Roman" w:cs="Times New Roman"/>
          <w:color w:val="auto"/>
          <w:sz w:val="24"/>
          <w:szCs w:val="24"/>
        </w:rPr>
        <w:t>of decision rules</w:t>
      </w:r>
      <w:r w:rsidR="00726935">
        <w:rPr>
          <w:rFonts w:ascii="Times New Roman" w:eastAsia="Arial Unicode MS" w:hAnsi="Times New Roman" w:cs="Times New Roman"/>
          <w:color w:val="auto"/>
          <w:sz w:val="24"/>
          <w:szCs w:val="24"/>
        </w:rPr>
        <w:t xml:space="preserve"> that allowed us focus in on a few critical course combinations.  Specifically, we identified six rules that our three combinations were required to meet:</w:t>
      </w:r>
    </w:p>
    <w:p w14:paraId="2470088A" w14:textId="77777777" w:rsidR="00726935" w:rsidRDefault="00726935" w:rsidP="00726935">
      <w:pPr>
        <w:pStyle w:val="ListParagraph"/>
        <w:widowControl w:val="0"/>
        <w:numPr>
          <w:ilvl w:val="0"/>
          <w:numId w:val="9"/>
        </w:numPr>
        <w:spacing w:after="0" w:line="480" w:lineRule="auto"/>
        <w:rPr>
          <w:rFonts w:ascii="Times New Roman" w:eastAsia="Arial Unicode MS" w:hAnsi="Times New Roman" w:cs="Times New Roman"/>
          <w:color w:val="auto"/>
          <w:sz w:val="24"/>
          <w:szCs w:val="24"/>
        </w:rPr>
      </w:pPr>
      <w:r w:rsidRPr="00726935">
        <w:rPr>
          <w:rFonts w:ascii="Times New Roman" w:eastAsia="Arial Unicode MS" w:hAnsi="Times New Roman" w:cs="Times New Roman"/>
          <w:color w:val="auto"/>
          <w:sz w:val="24"/>
          <w:szCs w:val="24"/>
        </w:rPr>
        <w:t xml:space="preserve">  </w:t>
      </w:r>
      <w:r>
        <w:rPr>
          <w:rFonts w:ascii="Times New Roman" w:eastAsia="Arial Unicode MS" w:hAnsi="Times New Roman" w:cs="Times New Roman"/>
          <w:color w:val="auto"/>
          <w:sz w:val="24"/>
          <w:szCs w:val="24"/>
        </w:rPr>
        <w:t>The course</w:t>
      </w:r>
      <w:r w:rsidR="00717E4E" w:rsidRPr="00726935">
        <w:rPr>
          <w:rFonts w:ascii="Times New Roman" w:eastAsia="Arial Unicode MS" w:hAnsi="Times New Roman" w:cs="Times New Roman"/>
          <w:color w:val="auto"/>
          <w:sz w:val="24"/>
          <w:szCs w:val="24"/>
        </w:rPr>
        <w:t xml:space="preserve"> </w:t>
      </w:r>
      <w:r w:rsidR="00B03178" w:rsidRPr="00726935">
        <w:rPr>
          <w:rFonts w:ascii="Times New Roman" w:eastAsia="Arial Unicode MS" w:hAnsi="Times New Roman" w:cs="Times New Roman"/>
          <w:color w:val="auto"/>
          <w:sz w:val="24"/>
          <w:szCs w:val="24"/>
        </w:rPr>
        <w:t xml:space="preserve">pair must be </w:t>
      </w:r>
      <w:r w:rsidR="00717E4E" w:rsidRPr="00726935">
        <w:rPr>
          <w:rFonts w:ascii="Times New Roman" w:eastAsia="Arial Unicode MS" w:hAnsi="Times New Roman" w:cs="Times New Roman"/>
          <w:color w:val="auto"/>
          <w:sz w:val="24"/>
          <w:szCs w:val="24"/>
        </w:rPr>
        <w:t xml:space="preserve">required </w:t>
      </w:r>
      <w:r w:rsidR="00B03178" w:rsidRPr="00726935">
        <w:rPr>
          <w:rFonts w:ascii="Times New Roman" w:eastAsia="Arial Unicode MS" w:hAnsi="Times New Roman" w:cs="Times New Roman"/>
          <w:color w:val="auto"/>
          <w:sz w:val="24"/>
          <w:szCs w:val="24"/>
        </w:rPr>
        <w:t xml:space="preserve">in </w:t>
      </w:r>
      <w:r w:rsidR="00717E4E" w:rsidRPr="00726935">
        <w:rPr>
          <w:rFonts w:ascii="Times New Roman" w:eastAsia="Arial Unicode MS" w:hAnsi="Times New Roman" w:cs="Times New Roman"/>
          <w:color w:val="auto"/>
          <w:sz w:val="24"/>
          <w:szCs w:val="24"/>
        </w:rPr>
        <w:t xml:space="preserve">multiple STEM </w:t>
      </w:r>
      <w:r w:rsidRPr="00726935">
        <w:rPr>
          <w:rFonts w:ascii="Times New Roman" w:eastAsia="Arial Unicode MS" w:hAnsi="Times New Roman" w:cs="Times New Roman"/>
          <w:color w:val="auto"/>
          <w:sz w:val="24"/>
          <w:szCs w:val="24"/>
        </w:rPr>
        <w:t>majors</w:t>
      </w:r>
      <w:r>
        <w:rPr>
          <w:rFonts w:ascii="Times New Roman" w:eastAsia="Arial Unicode MS" w:hAnsi="Times New Roman" w:cs="Times New Roman"/>
          <w:color w:val="auto"/>
          <w:sz w:val="24"/>
          <w:szCs w:val="24"/>
        </w:rPr>
        <w:t xml:space="preserve">, </w:t>
      </w:r>
    </w:p>
    <w:p w14:paraId="79045811" w14:textId="77777777" w:rsidR="00726935" w:rsidRDefault="00726935" w:rsidP="00726935">
      <w:pPr>
        <w:pStyle w:val="ListParagraph"/>
        <w:widowControl w:val="0"/>
        <w:numPr>
          <w:ilvl w:val="0"/>
          <w:numId w:val="9"/>
        </w:numPr>
        <w:spacing w:after="0" w:line="480" w:lineRule="auto"/>
        <w:rPr>
          <w:rFonts w:ascii="Times New Roman" w:eastAsia="Arial Unicode MS" w:hAnsi="Times New Roman" w:cs="Times New Roman"/>
          <w:color w:val="auto"/>
          <w:sz w:val="24"/>
          <w:szCs w:val="24"/>
        </w:rPr>
      </w:pPr>
      <w:r w:rsidRPr="00726935">
        <w:rPr>
          <w:rFonts w:ascii="Times New Roman" w:eastAsia="Arial Unicode MS" w:hAnsi="Times New Roman" w:cs="Times New Roman"/>
          <w:color w:val="auto"/>
          <w:sz w:val="24"/>
          <w:szCs w:val="24"/>
        </w:rPr>
        <w:t xml:space="preserve">  The two courses </w:t>
      </w:r>
      <w:r>
        <w:rPr>
          <w:rFonts w:ascii="Times New Roman" w:eastAsia="Arial Unicode MS" w:hAnsi="Times New Roman" w:cs="Times New Roman"/>
          <w:color w:val="auto"/>
          <w:sz w:val="24"/>
          <w:szCs w:val="24"/>
        </w:rPr>
        <w:t>must be</w:t>
      </w:r>
      <w:r w:rsidRPr="00726935">
        <w:rPr>
          <w:rFonts w:ascii="Times New Roman" w:eastAsia="Arial Unicode MS" w:hAnsi="Times New Roman" w:cs="Times New Roman"/>
          <w:color w:val="auto"/>
          <w:sz w:val="24"/>
          <w:szCs w:val="24"/>
        </w:rPr>
        <w:t xml:space="preserve"> fro</w:t>
      </w:r>
      <w:r>
        <w:rPr>
          <w:rFonts w:ascii="Times New Roman" w:eastAsia="Arial Unicode MS" w:hAnsi="Times New Roman" w:cs="Times New Roman"/>
          <w:color w:val="auto"/>
          <w:sz w:val="24"/>
          <w:szCs w:val="24"/>
        </w:rPr>
        <w:t>m different disciplines,</w:t>
      </w:r>
    </w:p>
    <w:p w14:paraId="36B37E62" w14:textId="77777777" w:rsidR="00726935" w:rsidRDefault="00726935" w:rsidP="00726935">
      <w:pPr>
        <w:pStyle w:val="ListParagraph"/>
        <w:widowControl w:val="0"/>
        <w:numPr>
          <w:ilvl w:val="0"/>
          <w:numId w:val="9"/>
        </w:numPr>
        <w:spacing w:after="0" w:line="480" w:lineRule="auto"/>
        <w:rPr>
          <w:rFonts w:ascii="Times New Roman" w:eastAsia="Arial Unicode MS" w:hAnsi="Times New Roman" w:cs="Times New Roman"/>
          <w:color w:val="auto"/>
          <w:sz w:val="24"/>
          <w:szCs w:val="24"/>
        </w:rPr>
      </w:pPr>
      <w:r w:rsidRPr="00726935">
        <w:rPr>
          <w:rFonts w:ascii="Times New Roman" w:eastAsia="Arial Unicode MS" w:hAnsi="Times New Roman" w:cs="Times New Roman"/>
          <w:color w:val="auto"/>
          <w:sz w:val="24"/>
          <w:szCs w:val="24"/>
        </w:rPr>
        <w:t xml:space="preserve">  </w:t>
      </w:r>
      <w:r>
        <w:rPr>
          <w:rFonts w:ascii="Times New Roman" w:eastAsia="Arial Unicode MS" w:hAnsi="Times New Roman" w:cs="Times New Roman"/>
          <w:color w:val="auto"/>
          <w:sz w:val="24"/>
          <w:szCs w:val="24"/>
        </w:rPr>
        <w:t>At</w:t>
      </w:r>
      <w:r w:rsidRPr="00726935">
        <w:rPr>
          <w:rFonts w:ascii="Times New Roman" w:eastAsia="Arial Unicode MS" w:hAnsi="Times New Roman" w:cs="Times New Roman"/>
          <w:color w:val="auto"/>
          <w:sz w:val="24"/>
          <w:szCs w:val="24"/>
        </w:rPr>
        <w:t xml:space="preserve"> least one of the courses </w:t>
      </w:r>
      <w:r>
        <w:rPr>
          <w:rFonts w:ascii="Times New Roman" w:eastAsia="Arial Unicode MS" w:hAnsi="Times New Roman" w:cs="Times New Roman"/>
          <w:color w:val="auto"/>
          <w:sz w:val="24"/>
          <w:szCs w:val="24"/>
        </w:rPr>
        <w:t>is</w:t>
      </w:r>
      <w:r w:rsidRPr="00726935">
        <w:rPr>
          <w:rFonts w:ascii="Times New Roman" w:eastAsia="Arial Unicode MS" w:hAnsi="Times New Roman" w:cs="Times New Roman"/>
          <w:color w:val="auto"/>
          <w:sz w:val="24"/>
          <w:szCs w:val="24"/>
        </w:rPr>
        <w:t xml:space="preserve"> not an introductory course, meaning that at least one of </w:t>
      </w:r>
      <w:r w:rsidRPr="00726935">
        <w:rPr>
          <w:rFonts w:ascii="Times New Roman" w:eastAsia="Arial Unicode MS" w:hAnsi="Times New Roman" w:cs="Times New Roman"/>
          <w:color w:val="auto"/>
          <w:sz w:val="24"/>
          <w:szCs w:val="24"/>
        </w:rPr>
        <w:lastRenderedPageBreak/>
        <w:t xml:space="preserve">the courses had college-level prerequisite course work to be completed before </w:t>
      </w:r>
      <w:r>
        <w:rPr>
          <w:rFonts w:ascii="Times New Roman" w:eastAsia="Arial Unicode MS" w:hAnsi="Times New Roman" w:cs="Times New Roman"/>
          <w:color w:val="auto"/>
          <w:sz w:val="24"/>
          <w:szCs w:val="24"/>
        </w:rPr>
        <w:t xml:space="preserve">enrolling in the critical course pair, </w:t>
      </w:r>
    </w:p>
    <w:p w14:paraId="1F045955" w14:textId="77777777" w:rsidR="00726935" w:rsidRDefault="0074052A" w:rsidP="00726935">
      <w:pPr>
        <w:pStyle w:val="ListParagraph"/>
        <w:widowControl w:val="0"/>
        <w:numPr>
          <w:ilvl w:val="0"/>
          <w:numId w:val="9"/>
        </w:numPr>
        <w:spacing w:after="0" w:line="480" w:lineRule="auto"/>
        <w:rPr>
          <w:rFonts w:ascii="Times New Roman" w:eastAsia="Arial Unicode MS" w:hAnsi="Times New Roman" w:cs="Times New Roman"/>
          <w:color w:val="auto"/>
          <w:sz w:val="24"/>
          <w:szCs w:val="24"/>
        </w:rPr>
      </w:pPr>
      <w:r w:rsidRPr="00726935">
        <w:rPr>
          <w:rFonts w:ascii="Times New Roman" w:eastAsia="Arial Unicode MS" w:hAnsi="Times New Roman" w:cs="Times New Roman"/>
          <w:color w:val="auto"/>
          <w:sz w:val="24"/>
          <w:szCs w:val="24"/>
        </w:rPr>
        <w:t>The courses are not terminal</w:t>
      </w:r>
      <w:r w:rsidR="00726935" w:rsidRPr="00726935">
        <w:rPr>
          <w:rFonts w:ascii="Times New Roman" w:eastAsia="Arial Unicode MS" w:hAnsi="Times New Roman" w:cs="Times New Roman"/>
          <w:color w:val="auto"/>
          <w:sz w:val="24"/>
          <w:szCs w:val="24"/>
        </w:rPr>
        <w:t xml:space="preserve"> at the two year </w:t>
      </w:r>
      <w:r w:rsidR="005F7821">
        <w:rPr>
          <w:rFonts w:ascii="Times New Roman" w:eastAsia="Arial Unicode MS" w:hAnsi="Times New Roman" w:cs="Times New Roman"/>
          <w:color w:val="auto"/>
          <w:sz w:val="24"/>
          <w:szCs w:val="24"/>
        </w:rPr>
        <w:t>college-level</w:t>
      </w:r>
      <w:r w:rsidRPr="00726935">
        <w:rPr>
          <w:rFonts w:ascii="Times New Roman" w:eastAsia="Arial Unicode MS" w:hAnsi="Times New Roman" w:cs="Times New Roman"/>
          <w:color w:val="auto"/>
          <w:sz w:val="24"/>
          <w:szCs w:val="24"/>
        </w:rPr>
        <w:t xml:space="preserve">.  That is, they </w:t>
      </w:r>
      <w:r w:rsidR="00B03178" w:rsidRPr="00726935">
        <w:rPr>
          <w:rFonts w:ascii="Times New Roman" w:eastAsia="Arial Unicode MS" w:hAnsi="Times New Roman" w:cs="Times New Roman"/>
          <w:color w:val="auto"/>
          <w:sz w:val="24"/>
          <w:szCs w:val="24"/>
        </w:rPr>
        <w:t xml:space="preserve">must </w:t>
      </w:r>
      <w:r w:rsidRPr="00726935">
        <w:rPr>
          <w:rFonts w:ascii="Times New Roman" w:eastAsia="Arial Unicode MS" w:hAnsi="Times New Roman" w:cs="Times New Roman"/>
          <w:color w:val="auto"/>
          <w:sz w:val="24"/>
          <w:szCs w:val="24"/>
        </w:rPr>
        <w:t>be situated in the curriculum in such</w:t>
      </w:r>
      <w:r w:rsidR="009F4B1B" w:rsidRPr="00726935">
        <w:rPr>
          <w:rFonts w:ascii="Times New Roman" w:eastAsia="Arial Unicode MS" w:hAnsi="Times New Roman" w:cs="Times New Roman"/>
          <w:color w:val="auto"/>
          <w:sz w:val="24"/>
          <w:szCs w:val="24"/>
        </w:rPr>
        <w:t xml:space="preserve"> a way</w:t>
      </w:r>
      <w:r w:rsidRPr="00726935">
        <w:rPr>
          <w:rFonts w:ascii="Times New Roman" w:eastAsia="Arial Unicode MS" w:hAnsi="Times New Roman" w:cs="Times New Roman"/>
          <w:color w:val="auto"/>
          <w:sz w:val="24"/>
          <w:szCs w:val="24"/>
        </w:rPr>
        <w:t xml:space="preserve"> that they serve the purpose of preparing students for more </w:t>
      </w:r>
      <w:r w:rsidR="00226BC6" w:rsidRPr="00726935">
        <w:rPr>
          <w:rFonts w:ascii="Times New Roman" w:eastAsia="Arial Unicode MS" w:hAnsi="Times New Roman" w:cs="Times New Roman"/>
          <w:color w:val="auto"/>
          <w:sz w:val="24"/>
          <w:szCs w:val="24"/>
        </w:rPr>
        <w:t>advanced coursework in STEM</w:t>
      </w:r>
      <w:r w:rsidR="000A2032" w:rsidRPr="00726935">
        <w:rPr>
          <w:rFonts w:ascii="Times New Roman" w:eastAsia="Arial Unicode MS" w:hAnsi="Times New Roman" w:cs="Times New Roman"/>
          <w:color w:val="auto"/>
          <w:sz w:val="24"/>
          <w:szCs w:val="24"/>
        </w:rPr>
        <w:t xml:space="preserve"> fields</w:t>
      </w:r>
      <w:r w:rsidR="009F4B1B" w:rsidRPr="00726935">
        <w:rPr>
          <w:rFonts w:ascii="Times New Roman" w:eastAsia="Arial Unicode MS" w:hAnsi="Times New Roman" w:cs="Times New Roman"/>
          <w:color w:val="auto"/>
          <w:sz w:val="24"/>
          <w:szCs w:val="24"/>
        </w:rPr>
        <w:t xml:space="preserve"> (e.g., calculus I prepares students for calculus II)</w:t>
      </w:r>
      <w:r w:rsidR="00226BC6" w:rsidRPr="00726935">
        <w:rPr>
          <w:rFonts w:ascii="Times New Roman" w:eastAsia="Arial Unicode MS" w:hAnsi="Times New Roman" w:cs="Times New Roman"/>
          <w:color w:val="auto"/>
          <w:sz w:val="24"/>
          <w:szCs w:val="24"/>
        </w:rPr>
        <w:t>,</w:t>
      </w:r>
    </w:p>
    <w:p w14:paraId="04E3E2A8" w14:textId="77777777" w:rsidR="00726935" w:rsidRDefault="00AB5ACC" w:rsidP="00726935">
      <w:pPr>
        <w:pStyle w:val="ListParagraph"/>
        <w:widowControl w:val="0"/>
        <w:numPr>
          <w:ilvl w:val="0"/>
          <w:numId w:val="9"/>
        </w:numPr>
        <w:spacing w:after="0" w:line="480" w:lineRule="auto"/>
        <w:rPr>
          <w:rFonts w:ascii="Times New Roman" w:eastAsia="Arial Unicode MS" w:hAnsi="Times New Roman" w:cs="Times New Roman"/>
          <w:color w:val="auto"/>
          <w:sz w:val="24"/>
          <w:szCs w:val="24"/>
        </w:rPr>
      </w:pPr>
      <w:r>
        <w:rPr>
          <w:rFonts w:ascii="Times New Roman" w:eastAsia="Arial Unicode MS" w:hAnsi="Times New Roman" w:cs="Times New Roman"/>
          <w:color w:val="auto"/>
          <w:sz w:val="24"/>
          <w:szCs w:val="24"/>
        </w:rPr>
        <w:t>The</w:t>
      </w:r>
      <w:r w:rsidR="00CB6057" w:rsidRPr="00726935">
        <w:rPr>
          <w:rFonts w:ascii="Times New Roman" w:eastAsia="Arial Unicode MS" w:hAnsi="Times New Roman" w:cs="Times New Roman"/>
          <w:color w:val="auto"/>
          <w:sz w:val="24"/>
          <w:szCs w:val="24"/>
        </w:rPr>
        <w:t xml:space="preserve"> </w:t>
      </w:r>
      <w:r w:rsidR="00726935">
        <w:rPr>
          <w:rFonts w:ascii="Times New Roman" w:eastAsia="Arial Unicode MS" w:hAnsi="Times New Roman" w:cs="Times New Roman"/>
          <w:color w:val="auto"/>
          <w:sz w:val="24"/>
          <w:szCs w:val="24"/>
        </w:rPr>
        <w:t>courses are</w:t>
      </w:r>
      <w:r w:rsidR="00CB6057" w:rsidRPr="00726935">
        <w:rPr>
          <w:rFonts w:ascii="Times New Roman" w:eastAsia="Arial Unicode MS" w:hAnsi="Times New Roman" w:cs="Times New Roman"/>
          <w:color w:val="auto"/>
          <w:sz w:val="24"/>
          <w:szCs w:val="24"/>
        </w:rPr>
        <w:t xml:space="preserve"> </w:t>
      </w:r>
      <w:r w:rsidR="00226BC6" w:rsidRPr="00726935">
        <w:rPr>
          <w:rFonts w:ascii="Times New Roman" w:eastAsia="Arial Unicode MS" w:hAnsi="Times New Roman" w:cs="Times New Roman"/>
          <w:color w:val="auto"/>
          <w:sz w:val="24"/>
          <w:szCs w:val="24"/>
        </w:rPr>
        <w:t xml:space="preserve">foundational, or </w:t>
      </w:r>
      <w:r w:rsidR="000A2032" w:rsidRPr="00726935">
        <w:rPr>
          <w:rFonts w:ascii="Times New Roman" w:eastAsia="Arial Unicode MS" w:hAnsi="Times New Roman" w:cs="Times New Roman"/>
          <w:color w:val="auto"/>
          <w:sz w:val="24"/>
          <w:szCs w:val="24"/>
        </w:rPr>
        <w:t xml:space="preserve">are </w:t>
      </w:r>
      <w:r w:rsidR="00226BC6" w:rsidRPr="00726935">
        <w:rPr>
          <w:rFonts w:ascii="Times New Roman" w:eastAsia="Arial Unicode MS" w:hAnsi="Times New Roman" w:cs="Times New Roman"/>
          <w:color w:val="auto"/>
          <w:sz w:val="24"/>
          <w:szCs w:val="24"/>
        </w:rPr>
        <w:t>the only pathway, to at least one set of STEM majors</w:t>
      </w:r>
      <w:r w:rsidR="009F4B1B" w:rsidRPr="00726935">
        <w:rPr>
          <w:rFonts w:ascii="Times New Roman" w:eastAsia="Arial Unicode MS" w:hAnsi="Times New Roman" w:cs="Times New Roman"/>
          <w:color w:val="auto"/>
          <w:sz w:val="24"/>
          <w:szCs w:val="24"/>
        </w:rPr>
        <w:t xml:space="preserve"> (e.g., all biology majors require specific courses from multiple disciplines)</w:t>
      </w:r>
      <w:r w:rsidR="00226BC6" w:rsidRPr="00726935">
        <w:rPr>
          <w:rFonts w:ascii="Times New Roman" w:eastAsia="Arial Unicode MS" w:hAnsi="Times New Roman" w:cs="Times New Roman"/>
          <w:color w:val="auto"/>
          <w:sz w:val="24"/>
          <w:szCs w:val="24"/>
        </w:rPr>
        <w:t>,</w:t>
      </w:r>
    </w:p>
    <w:p w14:paraId="357AF32A" w14:textId="77777777" w:rsidR="00724526" w:rsidRPr="00726935" w:rsidRDefault="00CB6057" w:rsidP="00726935">
      <w:pPr>
        <w:pStyle w:val="ListParagraph"/>
        <w:widowControl w:val="0"/>
        <w:numPr>
          <w:ilvl w:val="0"/>
          <w:numId w:val="9"/>
        </w:numPr>
        <w:spacing w:after="0" w:line="480" w:lineRule="auto"/>
        <w:rPr>
          <w:rFonts w:ascii="Times New Roman" w:eastAsia="Arial Unicode MS" w:hAnsi="Times New Roman" w:cs="Times New Roman"/>
          <w:color w:val="auto"/>
          <w:sz w:val="24"/>
          <w:szCs w:val="24"/>
        </w:rPr>
      </w:pPr>
      <w:r w:rsidRPr="00726935">
        <w:rPr>
          <w:rFonts w:ascii="Times New Roman" w:eastAsia="Arial Unicode MS" w:hAnsi="Times New Roman" w:cs="Times New Roman"/>
          <w:color w:val="auto"/>
          <w:sz w:val="24"/>
          <w:szCs w:val="24"/>
        </w:rPr>
        <w:t xml:space="preserve">The courses must be </w:t>
      </w:r>
      <w:r w:rsidR="00226BC6" w:rsidRPr="00726935">
        <w:rPr>
          <w:rFonts w:ascii="Times New Roman" w:eastAsia="Arial Unicode MS" w:hAnsi="Times New Roman" w:cs="Times New Roman"/>
          <w:color w:val="auto"/>
          <w:sz w:val="24"/>
          <w:szCs w:val="24"/>
        </w:rPr>
        <w:t xml:space="preserve">offered </w:t>
      </w:r>
      <w:r w:rsidR="00B41BF7" w:rsidRPr="00726935">
        <w:rPr>
          <w:rFonts w:ascii="Times New Roman" w:eastAsia="Arial Unicode MS" w:hAnsi="Times New Roman" w:cs="Times New Roman"/>
          <w:color w:val="auto"/>
          <w:sz w:val="24"/>
          <w:szCs w:val="24"/>
        </w:rPr>
        <w:t xml:space="preserve">by all or nearly all of the colleges in the </w:t>
      </w:r>
      <w:r w:rsidR="006D4451" w:rsidRPr="00726935">
        <w:rPr>
          <w:rFonts w:ascii="Times New Roman" w:eastAsia="Arial Unicode MS" w:hAnsi="Times New Roman" w:cs="Times New Roman"/>
          <w:color w:val="auto"/>
          <w:sz w:val="24"/>
          <w:szCs w:val="24"/>
        </w:rPr>
        <w:t>CCC s</w:t>
      </w:r>
      <w:r w:rsidR="00226BC6" w:rsidRPr="00726935">
        <w:rPr>
          <w:rFonts w:ascii="Times New Roman" w:eastAsia="Arial Unicode MS" w:hAnsi="Times New Roman" w:cs="Times New Roman"/>
          <w:color w:val="auto"/>
          <w:sz w:val="24"/>
          <w:szCs w:val="24"/>
        </w:rPr>
        <w:t xml:space="preserve">ystem. </w:t>
      </w:r>
    </w:p>
    <w:p w14:paraId="48CF6B92" w14:textId="77777777" w:rsidR="00A806B8" w:rsidRPr="00113507" w:rsidRDefault="00A806B8" w:rsidP="00113507">
      <w:pPr>
        <w:widowControl w:val="0"/>
        <w:spacing w:after="0" w:line="480" w:lineRule="auto"/>
        <w:ind w:firstLine="720"/>
        <w:rPr>
          <w:rFonts w:ascii="Times New Roman" w:eastAsia="Arial Unicode MS" w:hAnsi="Times New Roman" w:cs="Times New Roman"/>
          <w:color w:val="auto"/>
          <w:sz w:val="24"/>
          <w:szCs w:val="24"/>
        </w:rPr>
      </w:pPr>
      <w:r w:rsidRPr="002B710B">
        <w:rPr>
          <w:rFonts w:ascii="Times New Roman" w:eastAsia="Arial Unicode MS" w:hAnsi="Times New Roman" w:cs="Times New Roman"/>
          <w:color w:val="auto"/>
          <w:sz w:val="24"/>
          <w:szCs w:val="24"/>
        </w:rPr>
        <w:t>Using</w:t>
      </w:r>
      <w:r w:rsidR="00A37DC8" w:rsidRPr="002B710B">
        <w:rPr>
          <w:rFonts w:ascii="Times New Roman" w:eastAsia="Arial Unicode MS" w:hAnsi="Times New Roman" w:cs="Times New Roman"/>
          <w:color w:val="auto"/>
          <w:sz w:val="24"/>
          <w:szCs w:val="24"/>
        </w:rPr>
        <w:t xml:space="preserve"> </w:t>
      </w:r>
      <w:r w:rsidR="000A2032" w:rsidRPr="002B710B">
        <w:rPr>
          <w:rFonts w:ascii="Times New Roman" w:eastAsia="Arial Unicode MS" w:hAnsi="Times New Roman" w:cs="Times New Roman"/>
          <w:color w:val="auto"/>
          <w:sz w:val="24"/>
          <w:szCs w:val="24"/>
        </w:rPr>
        <w:t>these criteria</w:t>
      </w:r>
      <w:r w:rsidRPr="002B710B">
        <w:rPr>
          <w:rFonts w:ascii="Times New Roman" w:eastAsia="Arial Unicode MS" w:hAnsi="Times New Roman" w:cs="Times New Roman"/>
          <w:color w:val="auto"/>
          <w:sz w:val="24"/>
          <w:szCs w:val="24"/>
        </w:rPr>
        <w:t>, we were able to</w:t>
      </w:r>
      <w:r w:rsidR="00A37DC8" w:rsidRPr="002B710B">
        <w:rPr>
          <w:rFonts w:ascii="Times New Roman" w:eastAsia="Arial Unicode MS" w:hAnsi="Times New Roman" w:cs="Times New Roman"/>
          <w:color w:val="auto"/>
          <w:sz w:val="24"/>
          <w:szCs w:val="24"/>
        </w:rPr>
        <w:t xml:space="preserve"> </w:t>
      </w:r>
      <w:r w:rsidR="00FD00F9">
        <w:rPr>
          <w:rFonts w:ascii="Times New Roman" w:eastAsia="Arial Unicode MS" w:hAnsi="Times New Roman" w:cs="Times New Roman"/>
          <w:color w:val="auto"/>
          <w:sz w:val="24"/>
          <w:szCs w:val="24"/>
        </w:rPr>
        <w:t xml:space="preserve">reduce the number of </w:t>
      </w:r>
      <w:r w:rsidRPr="002B710B">
        <w:rPr>
          <w:rFonts w:ascii="Times New Roman" w:eastAsia="Arial Unicode MS" w:hAnsi="Times New Roman" w:cs="Times New Roman"/>
          <w:color w:val="auto"/>
          <w:sz w:val="24"/>
          <w:szCs w:val="24"/>
        </w:rPr>
        <w:t>interdisciplinary course combinations</w:t>
      </w:r>
      <w:r w:rsidR="00FD00F9">
        <w:rPr>
          <w:rFonts w:ascii="Times New Roman" w:eastAsia="Arial Unicode MS" w:hAnsi="Times New Roman" w:cs="Times New Roman"/>
          <w:color w:val="auto"/>
          <w:sz w:val="24"/>
          <w:szCs w:val="24"/>
        </w:rPr>
        <w:t xml:space="preserve"> to a core set</w:t>
      </w:r>
      <w:r w:rsidR="00800633">
        <w:rPr>
          <w:rFonts w:ascii="Times New Roman" w:eastAsia="Arial Unicode MS" w:hAnsi="Times New Roman" w:cs="Times New Roman"/>
          <w:color w:val="auto"/>
          <w:sz w:val="24"/>
          <w:szCs w:val="24"/>
        </w:rPr>
        <w:t xml:space="preserve"> of </w:t>
      </w:r>
      <w:r w:rsidR="00B86B26" w:rsidRPr="002B710B">
        <w:rPr>
          <w:rFonts w:ascii="Times New Roman" w:eastAsia="Arial Unicode MS" w:hAnsi="Times New Roman" w:cs="Times New Roman"/>
          <w:color w:val="auto"/>
          <w:sz w:val="24"/>
          <w:szCs w:val="24"/>
        </w:rPr>
        <w:t>three</w:t>
      </w:r>
      <w:r w:rsidR="00726935">
        <w:rPr>
          <w:rFonts w:ascii="Times New Roman" w:eastAsia="Arial Unicode MS" w:hAnsi="Times New Roman" w:cs="Times New Roman"/>
          <w:color w:val="auto"/>
          <w:sz w:val="24"/>
          <w:szCs w:val="24"/>
        </w:rPr>
        <w:t xml:space="preserve"> </w:t>
      </w:r>
      <w:r w:rsidRPr="00113507">
        <w:rPr>
          <w:rFonts w:ascii="Times New Roman" w:eastAsia="Arial Unicode MS" w:hAnsi="Times New Roman" w:cs="Times New Roman"/>
          <w:color w:val="auto"/>
          <w:sz w:val="24"/>
          <w:szCs w:val="24"/>
        </w:rPr>
        <w:t xml:space="preserve">course </w:t>
      </w:r>
      <w:r w:rsidR="00724526">
        <w:rPr>
          <w:rFonts w:ascii="Times New Roman" w:eastAsia="Arial Unicode MS" w:hAnsi="Times New Roman" w:cs="Times New Roman"/>
          <w:color w:val="auto"/>
          <w:sz w:val="24"/>
          <w:szCs w:val="24"/>
        </w:rPr>
        <w:t>pairs</w:t>
      </w:r>
      <w:r w:rsidRPr="00113507">
        <w:rPr>
          <w:rFonts w:ascii="Times New Roman" w:eastAsia="Arial Unicode MS" w:hAnsi="Times New Roman" w:cs="Times New Roman"/>
          <w:color w:val="auto"/>
          <w:sz w:val="24"/>
          <w:szCs w:val="24"/>
        </w:rPr>
        <w:t xml:space="preserve"> that exhibited the above criteria:</w:t>
      </w:r>
    </w:p>
    <w:p w14:paraId="585EADA8" w14:textId="77777777" w:rsidR="00A806B8" w:rsidRPr="002B710B" w:rsidRDefault="00A806B8" w:rsidP="00113507">
      <w:pPr>
        <w:pStyle w:val="Normal1"/>
        <w:numPr>
          <w:ilvl w:val="0"/>
          <w:numId w:val="5"/>
        </w:numPr>
        <w:spacing w:after="0" w:line="480" w:lineRule="auto"/>
        <w:contextualSpacing/>
        <w:rPr>
          <w:rFonts w:ascii="Times New Roman" w:eastAsia="Times New Roman" w:hAnsi="Times New Roman" w:cs="Times New Roman"/>
          <w:color w:val="auto"/>
          <w:sz w:val="24"/>
          <w:szCs w:val="24"/>
        </w:rPr>
      </w:pPr>
      <w:r w:rsidRPr="00113507">
        <w:rPr>
          <w:rFonts w:ascii="Times New Roman" w:eastAsia="Times New Roman" w:hAnsi="Times New Roman" w:cs="Times New Roman"/>
          <w:b/>
          <w:color w:val="auto"/>
          <w:sz w:val="24"/>
          <w:szCs w:val="24"/>
        </w:rPr>
        <w:t xml:space="preserve">Calculus I &amp; Physics I: </w:t>
      </w:r>
      <w:r w:rsidRPr="00113507">
        <w:rPr>
          <w:rFonts w:ascii="Times New Roman" w:eastAsia="Times New Roman" w:hAnsi="Times New Roman" w:cs="Times New Roman"/>
          <w:color w:val="auto"/>
          <w:sz w:val="24"/>
          <w:szCs w:val="24"/>
        </w:rPr>
        <w:t>These courses are required for almost all STEM majors, serve as prerequisites for advanced coursework, and they</w:t>
      </w:r>
      <w:r w:rsidRPr="009C0EDA">
        <w:rPr>
          <w:rFonts w:ascii="Times New Roman" w:eastAsia="Times New Roman" w:hAnsi="Times New Roman" w:cs="Times New Roman"/>
          <w:color w:val="auto"/>
          <w:sz w:val="24"/>
          <w:szCs w:val="24"/>
        </w:rPr>
        <w:t xml:space="preserve"> are referenced frequently as</w:t>
      </w:r>
      <w:r w:rsidR="00B86B26" w:rsidRPr="002B710B">
        <w:rPr>
          <w:rFonts w:ascii="Times New Roman" w:eastAsia="Times New Roman" w:hAnsi="Times New Roman" w:cs="Times New Roman"/>
          <w:color w:val="auto"/>
          <w:sz w:val="24"/>
          <w:szCs w:val="24"/>
        </w:rPr>
        <w:t xml:space="preserve"> co-requisites in CCC catalogs.</w:t>
      </w:r>
    </w:p>
    <w:p w14:paraId="4338FC45" w14:textId="77777777" w:rsidR="00A806B8" w:rsidRPr="002B710B" w:rsidRDefault="00A806B8" w:rsidP="009C0EDA">
      <w:pPr>
        <w:pStyle w:val="Normal1"/>
        <w:numPr>
          <w:ilvl w:val="0"/>
          <w:numId w:val="5"/>
        </w:numPr>
        <w:spacing w:after="0" w:line="480" w:lineRule="auto"/>
        <w:contextualSpacing/>
        <w:rPr>
          <w:rFonts w:ascii="Times New Roman" w:eastAsia="Times New Roman" w:hAnsi="Times New Roman" w:cs="Times New Roman"/>
          <w:color w:val="auto"/>
          <w:sz w:val="24"/>
          <w:szCs w:val="24"/>
        </w:rPr>
      </w:pPr>
      <w:r w:rsidRPr="002B710B">
        <w:rPr>
          <w:rFonts w:ascii="Times New Roman" w:eastAsia="Times New Roman" w:hAnsi="Times New Roman" w:cs="Times New Roman"/>
          <w:b/>
          <w:color w:val="auto"/>
          <w:sz w:val="24"/>
          <w:szCs w:val="24"/>
        </w:rPr>
        <w:t xml:space="preserve">Biology I &amp; General Chemistry I: </w:t>
      </w:r>
      <w:r w:rsidRPr="002B710B">
        <w:rPr>
          <w:rFonts w:ascii="Times New Roman" w:eastAsia="Times New Roman" w:hAnsi="Times New Roman" w:cs="Times New Roman"/>
          <w:color w:val="auto"/>
          <w:sz w:val="24"/>
          <w:szCs w:val="24"/>
        </w:rPr>
        <w:t>This course pair is required for biology majors</w:t>
      </w:r>
      <w:r w:rsidR="00702EB4">
        <w:rPr>
          <w:rFonts w:ascii="Times New Roman" w:eastAsia="Times New Roman" w:hAnsi="Times New Roman" w:cs="Times New Roman"/>
          <w:color w:val="auto"/>
          <w:sz w:val="24"/>
          <w:szCs w:val="24"/>
        </w:rPr>
        <w:t>, some chemistry majors and all medical fields</w:t>
      </w:r>
      <w:r w:rsidRPr="002B710B">
        <w:rPr>
          <w:rFonts w:ascii="Times New Roman" w:eastAsia="Times New Roman" w:hAnsi="Times New Roman" w:cs="Times New Roman"/>
          <w:color w:val="auto"/>
          <w:sz w:val="24"/>
          <w:szCs w:val="24"/>
        </w:rPr>
        <w:t>.</w:t>
      </w:r>
    </w:p>
    <w:p w14:paraId="7C32AEAA" w14:textId="77777777" w:rsidR="00A806B8" w:rsidRPr="002B710B" w:rsidRDefault="00E27549" w:rsidP="002B710B">
      <w:pPr>
        <w:pStyle w:val="Normal1"/>
        <w:numPr>
          <w:ilvl w:val="0"/>
          <w:numId w:val="5"/>
        </w:numPr>
        <w:spacing w:after="0" w:line="480" w:lineRule="auto"/>
        <w:contextualSpacing/>
        <w:rPr>
          <w:rFonts w:ascii="Times New Roman" w:eastAsia="Times New Roman" w:hAnsi="Times New Roman" w:cs="Times New Roman"/>
          <w:color w:val="auto"/>
          <w:sz w:val="24"/>
          <w:szCs w:val="24"/>
        </w:rPr>
      </w:pPr>
      <w:r w:rsidRPr="002B710B">
        <w:rPr>
          <w:rFonts w:ascii="Times New Roman" w:eastAsia="Times New Roman" w:hAnsi="Times New Roman" w:cs="Times New Roman"/>
          <w:b/>
          <w:color w:val="auto"/>
          <w:sz w:val="24"/>
          <w:szCs w:val="24"/>
        </w:rPr>
        <w:t>Calculus I</w:t>
      </w:r>
      <w:r w:rsidR="00A806B8" w:rsidRPr="002B710B">
        <w:rPr>
          <w:rFonts w:ascii="Times New Roman" w:eastAsia="Times New Roman" w:hAnsi="Times New Roman" w:cs="Times New Roman"/>
          <w:b/>
          <w:color w:val="auto"/>
          <w:sz w:val="24"/>
          <w:szCs w:val="24"/>
        </w:rPr>
        <w:t xml:space="preserve"> &amp; </w:t>
      </w:r>
      <w:r w:rsidRPr="002B710B">
        <w:rPr>
          <w:rFonts w:ascii="Times New Roman" w:eastAsia="Times New Roman" w:hAnsi="Times New Roman" w:cs="Times New Roman"/>
          <w:b/>
          <w:color w:val="auto"/>
          <w:sz w:val="24"/>
          <w:szCs w:val="24"/>
        </w:rPr>
        <w:t xml:space="preserve">Computer </w:t>
      </w:r>
      <w:r w:rsidR="00A806B8" w:rsidRPr="002B710B">
        <w:rPr>
          <w:rFonts w:ascii="Times New Roman" w:eastAsia="Times New Roman" w:hAnsi="Times New Roman" w:cs="Times New Roman"/>
          <w:b/>
          <w:color w:val="auto"/>
          <w:sz w:val="24"/>
          <w:szCs w:val="24"/>
        </w:rPr>
        <w:t xml:space="preserve">Programming Concepts: </w:t>
      </w:r>
      <w:r w:rsidR="00A806B8" w:rsidRPr="002B710B">
        <w:rPr>
          <w:rFonts w:ascii="Times New Roman" w:eastAsia="Times New Roman" w:hAnsi="Times New Roman" w:cs="Times New Roman"/>
          <w:color w:val="auto"/>
          <w:sz w:val="24"/>
          <w:szCs w:val="24"/>
        </w:rPr>
        <w:t xml:space="preserve">This course pair is required </w:t>
      </w:r>
      <w:r w:rsidR="00437F54">
        <w:rPr>
          <w:rFonts w:ascii="Times New Roman" w:eastAsia="Times New Roman" w:hAnsi="Times New Roman" w:cs="Times New Roman"/>
          <w:color w:val="auto"/>
          <w:sz w:val="24"/>
          <w:szCs w:val="24"/>
        </w:rPr>
        <w:t>in computer science programs and in most programs of study in engineering</w:t>
      </w:r>
      <w:r w:rsidR="00A806B8" w:rsidRPr="002B710B">
        <w:rPr>
          <w:rFonts w:ascii="Times New Roman" w:eastAsia="Times New Roman" w:hAnsi="Times New Roman" w:cs="Times New Roman"/>
          <w:color w:val="auto"/>
          <w:sz w:val="24"/>
          <w:szCs w:val="24"/>
        </w:rPr>
        <w:t>.</w:t>
      </w:r>
    </w:p>
    <w:p w14:paraId="3F63BA86" w14:textId="77777777" w:rsidR="00A37DC8" w:rsidRPr="002B710B" w:rsidRDefault="00437F54" w:rsidP="002B710B">
      <w:pPr>
        <w:widowControl w:val="0"/>
        <w:spacing w:after="0" w:line="480" w:lineRule="auto"/>
        <w:ind w:firstLine="720"/>
        <w:rPr>
          <w:rFonts w:ascii="Times New Roman" w:eastAsia="Arial Unicode MS" w:hAnsi="Times New Roman" w:cs="Times New Roman"/>
          <w:color w:val="auto"/>
          <w:sz w:val="24"/>
          <w:szCs w:val="24"/>
        </w:rPr>
      </w:pPr>
      <w:r>
        <w:rPr>
          <w:rFonts w:ascii="Times New Roman" w:eastAsia="Arial Unicode MS" w:hAnsi="Times New Roman" w:cs="Times New Roman"/>
          <w:color w:val="auto"/>
          <w:sz w:val="24"/>
          <w:szCs w:val="24"/>
        </w:rPr>
        <w:t>Although</w:t>
      </w:r>
      <w:r w:rsidRPr="002B710B">
        <w:rPr>
          <w:rFonts w:ascii="Times New Roman" w:eastAsia="Arial Unicode MS" w:hAnsi="Times New Roman" w:cs="Times New Roman"/>
          <w:color w:val="auto"/>
          <w:sz w:val="24"/>
          <w:szCs w:val="24"/>
        </w:rPr>
        <w:t xml:space="preserve"> </w:t>
      </w:r>
      <w:r w:rsidR="00B86B26" w:rsidRPr="002B710B">
        <w:rPr>
          <w:rFonts w:ascii="Times New Roman" w:eastAsia="Arial Unicode MS" w:hAnsi="Times New Roman" w:cs="Times New Roman"/>
          <w:color w:val="auto"/>
          <w:sz w:val="24"/>
          <w:szCs w:val="24"/>
        </w:rPr>
        <w:t xml:space="preserve">we identify </w:t>
      </w:r>
      <w:r w:rsidR="004227FF" w:rsidRPr="002B710B">
        <w:rPr>
          <w:rFonts w:ascii="Times New Roman" w:eastAsia="Arial Unicode MS" w:hAnsi="Times New Roman" w:cs="Times New Roman"/>
          <w:color w:val="auto"/>
          <w:sz w:val="24"/>
          <w:szCs w:val="24"/>
        </w:rPr>
        <w:t>and focus on</w:t>
      </w:r>
      <w:r w:rsidR="00B86B26" w:rsidRPr="002B710B">
        <w:rPr>
          <w:rFonts w:ascii="Times New Roman" w:eastAsia="Arial Unicode MS" w:hAnsi="Times New Roman" w:cs="Times New Roman"/>
          <w:color w:val="auto"/>
          <w:sz w:val="24"/>
          <w:szCs w:val="24"/>
        </w:rPr>
        <w:t xml:space="preserve"> three critical combinations</w:t>
      </w:r>
      <w:r w:rsidR="007C3E84">
        <w:rPr>
          <w:rFonts w:ascii="Times New Roman" w:eastAsia="Arial Unicode MS" w:hAnsi="Times New Roman" w:cs="Times New Roman"/>
          <w:color w:val="auto"/>
          <w:sz w:val="24"/>
          <w:szCs w:val="24"/>
        </w:rPr>
        <w:t xml:space="preserve"> of courses</w:t>
      </w:r>
      <w:r w:rsidR="00B86B26" w:rsidRPr="002B710B">
        <w:rPr>
          <w:rFonts w:ascii="Times New Roman" w:eastAsia="Arial Unicode MS" w:hAnsi="Times New Roman" w:cs="Times New Roman"/>
          <w:color w:val="auto"/>
          <w:sz w:val="24"/>
          <w:szCs w:val="24"/>
        </w:rPr>
        <w:t>, in our analysis of college catalogs</w:t>
      </w:r>
      <w:r w:rsidR="003E23B3" w:rsidRPr="002B710B">
        <w:rPr>
          <w:rFonts w:ascii="Times New Roman" w:eastAsia="Arial Unicode MS" w:hAnsi="Times New Roman" w:cs="Times New Roman"/>
          <w:color w:val="auto"/>
          <w:sz w:val="24"/>
          <w:szCs w:val="24"/>
        </w:rPr>
        <w:t>,</w:t>
      </w:r>
      <w:r w:rsidR="00B86B26" w:rsidRPr="002B710B">
        <w:rPr>
          <w:rFonts w:ascii="Times New Roman" w:eastAsia="Arial Unicode MS" w:hAnsi="Times New Roman" w:cs="Times New Roman"/>
          <w:color w:val="auto"/>
          <w:sz w:val="24"/>
          <w:szCs w:val="24"/>
        </w:rPr>
        <w:t xml:space="preserve"> we found that all </w:t>
      </w:r>
      <w:r w:rsidR="007C3E84">
        <w:rPr>
          <w:rFonts w:ascii="Times New Roman" w:eastAsia="Arial Unicode MS" w:hAnsi="Times New Roman" w:cs="Times New Roman"/>
          <w:color w:val="auto"/>
          <w:sz w:val="24"/>
          <w:szCs w:val="24"/>
        </w:rPr>
        <w:t xml:space="preserve">STEM </w:t>
      </w:r>
      <w:r w:rsidR="00B86B26" w:rsidRPr="002B710B">
        <w:rPr>
          <w:rFonts w:ascii="Times New Roman" w:eastAsia="Arial Unicode MS" w:hAnsi="Times New Roman" w:cs="Times New Roman"/>
          <w:color w:val="auto"/>
          <w:sz w:val="24"/>
          <w:szCs w:val="24"/>
        </w:rPr>
        <w:t>majors require</w:t>
      </w:r>
      <w:r w:rsidR="007C3E84">
        <w:rPr>
          <w:rFonts w:ascii="Times New Roman" w:eastAsia="Arial Unicode MS" w:hAnsi="Times New Roman" w:cs="Times New Roman"/>
          <w:color w:val="auto"/>
          <w:sz w:val="24"/>
          <w:szCs w:val="24"/>
        </w:rPr>
        <w:t xml:space="preserve"> </w:t>
      </w:r>
      <w:r w:rsidR="00B86B26" w:rsidRPr="002B710B">
        <w:rPr>
          <w:rFonts w:ascii="Times New Roman" w:eastAsia="Arial Unicode MS" w:hAnsi="Times New Roman" w:cs="Times New Roman"/>
          <w:color w:val="auto"/>
          <w:sz w:val="24"/>
          <w:szCs w:val="24"/>
        </w:rPr>
        <w:t xml:space="preserve">introductory </w:t>
      </w:r>
      <w:r w:rsidR="007C3E84">
        <w:rPr>
          <w:rFonts w:ascii="Times New Roman" w:eastAsia="Arial Unicode MS" w:hAnsi="Times New Roman" w:cs="Times New Roman"/>
          <w:color w:val="auto"/>
          <w:sz w:val="24"/>
          <w:szCs w:val="24"/>
        </w:rPr>
        <w:t xml:space="preserve">(and sometimes advanced) </w:t>
      </w:r>
      <w:r w:rsidR="00B86B26" w:rsidRPr="002B710B">
        <w:rPr>
          <w:rFonts w:ascii="Times New Roman" w:eastAsia="Arial Unicode MS" w:hAnsi="Times New Roman" w:cs="Times New Roman"/>
          <w:color w:val="auto"/>
          <w:sz w:val="24"/>
          <w:szCs w:val="24"/>
        </w:rPr>
        <w:t>courses from two or more STEM disciplines</w:t>
      </w:r>
      <w:r w:rsidR="00702EB4">
        <w:rPr>
          <w:rFonts w:ascii="Times New Roman" w:eastAsia="Arial Unicode MS" w:hAnsi="Times New Roman" w:cs="Times New Roman"/>
          <w:color w:val="auto"/>
          <w:sz w:val="24"/>
          <w:szCs w:val="24"/>
        </w:rPr>
        <w:t xml:space="preserve"> beyond general education requirements</w:t>
      </w:r>
      <w:r w:rsidR="004C7221" w:rsidRPr="002B710B">
        <w:rPr>
          <w:rFonts w:ascii="Times New Roman" w:eastAsia="Arial Unicode MS" w:hAnsi="Times New Roman" w:cs="Times New Roman"/>
          <w:color w:val="auto"/>
          <w:sz w:val="24"/>
          <w:szCs w:val="24"/>
        </w:rPr>
        <w:t xml:space="preserve">.  For example, most </w:t>
      </w:r>
      <w:r w:rsidR="007C3E84">
        <w:rPr>
          <w:rFonts w:ascii="Times New Roman" w:eastAsia="Arial Unicode MS" w:hAnsi="Times New Roman" w:cs="Times New Roman"/>
          <w:color w:val="auto"/>
          <w:sz w:val="24"/>
          <w:szCs w:val="24"/>
        </w:rPr>
        <w:t xml:space="preserve">STEM </w:t>
      </w:r>
      <w:r w:rsidR="004C7221" w:rsidRPr="002B710B">
        <w:rPr>
          <w:rFonts w:ascii="Times New Roman" w:eastAsia="Arial Unicode MS" w:hAnsi="Times New Roman" w:cs="Times New Roman"/>
          <w:color w:val="auto"/>
          <w:sz w:val="24"/>
          <w:szCs w:val="24"/>
        </w:rPr>
        <w:t xml:space="preserve">majors require </w:t>
      </w:r>
      <w:r w:rsidR="007C3E84">
        <w:rPr>
          <w:rFonts w:ascii="Times New Roman" w:eastAsia="Arial Unicode MS" w:hAnsi="Times New Roman" w:cs="Times New Roman"/>
          <w:color w:val="auto"/>
          <w:sz w:val="24"/>
          <w:szCs w:val="24"/>
        </w:rPr>
        <w:t xml:space="preserve">a minimum demonstration of </w:t>
      </w:r>
      <w:r w:rsidR="004C7221" w:rsidRPr="002B710B">
        <w:rPr>
          <w:rFonts w:ascii="Times New Roman" w:eastAsia="Arial Unicode MS" w:hAnsi="Times New Roman" w:cs="Times New Roman"/>
          <w:color w:val="auto"/>
          <w:sz w:val="24"/>
          <w:szCs w:val="24"/>
        </w:rPr>
        <w:t>math competency</w:t>
      </w:r>
      <w:r w:rsidR="007C3E84">
        <w:rPr>
          <w:rFonts w:ascii="Times New Roman" w:eastAsia="Arial Unicode MS" w:hAnsi="Times New Roman" w:cs="Times New Roman"/>
          <w:color w:val="auto"/>
          <w:sz w:val="24"/>
          <w:szCs w:val="24"/>
        </w:rPr>
        <w:t>,</w:t>
      </w:r>
      <w:r w:rsidR="004C7221" w:rsidRPr="002B710B">
        <w:rPr>
          <w:rFonts w:ascii="Times New Roman" w:eastAsia="Arial Unicode MS" w:hAnsi="Times New Roman" w:cs="Times New Roman"/>
          <w:color w:val="auto"/>
          <w:sz w:val="24"/>
          <w:szCs w:val="24"/>
        </w:rPr>
        <w:t xml:space="preserve"> like </w:t>
      </w:r>
      <w:r w:rsidR="00702EB4">
        <w:rPr>
          <w:rFonts w:ascii="Times New Roman" w:eastAsia="Arial Unicode MS" w:hAnsi="Times New Roman" w:cs="Times New Roman"/>
          <w:color w:val="auto"/>
          <w:sz w:val="24"/>
          <w:szCs w:val="24"/>
        </w:rPr>
        <w:t>trigonometry</w:t>
      </w:r>
      <w:r w:rsidR="007C3E84">
        <w:rPr>
          <w:rFonts w:ascii="Times New Roman" w:eastAsia="Arial Unicode MS" w:hAnsi="Times New Roman" w:cs="Times New Roman"/>
          <w:color w:val="auto"/>
          <w:sz w:val="24"/>
          <w:szCs w:val="24"/>
        </w:rPr>
        <w:t>,</w:t>
      </w:r>
      <w:r w:rsidR="004C7221" w:rsidRPr="002B710B">
        <w:rPr>
          <w:rFonts w:ascii="Times New Roman" w:eastAsia="Arial Unicode MS" w:hAnsi="Times New Roman" w:cs="Times New Roman"/>
          <w:color w:val="auto"/>
          <w:sz w:val="24"/>
          <w:szCs w:val="24"/>
        </w:rPr>
        <w:t xml:space="preserve"> and </w:t>
      </w:r>
      <w:r w:rsidR="00702EB4" w:rsidRPr="002B710B">
        <w:rPr>
          <w:rFonts w:ascii="Times New Roman" w:eastAsia="Arial Unicode MS" w:hAnsi="Times New Roman" w:cs="Times New Roman"/>
          <w:color w:val="auto"/>
          <w:sz w:val="24"/>
          <w:szCs w:val="24"/>
        </w:rPr>
        <w:t>a</w:t>
      </w:r>
      <w:r w:rsidR="004C7221" w:rsidRPr="002B710B">
        <w:rPr>
          <w:rFonts w:ascii="Times New Roman" w:eastAsia="Arial Unicode MS" w:hAnsi="Times New Roman" w:cs="Times New Roman"/>
          <w:color w:val="auto"/>
          <w:sz w:val="24"/>
          <w:szCs w:val="24"/>
        </w:rPr>
        <w:t xml:space="preserve"> physical science </w:t>
      </w:r>
      <w:r w:rsidR="00816155">
        <w:rPr>
          <w:rFonts w:ascii="Times New Roman" w:eastAsia="Arial Unicode MS" w:hAnsi="Times New Roman" w:cs="Times New Roman"/>
          <w:color w:val="auto"/>
          <w:sz w:val="24"/>
          <w:szCs w:val="24"/>
        </w:rPr>
        <w:t xml:space="preserve">course </w:t>
      </w:r>
      <w:r w:rsidR="00702EB4">
        <w:rPr>
          <w:rFonts w:ascii="Times New Roman" w:eastAsia="Arial Unicode MS" w:hAnsi="Times New Roman" w:cs="Times New Roman"/>
          <w:color w:val="auto"/>
          <w:sz w:val="24"/>
          <w:szCs w:val="24"/>
        </w:rPr>
        <w:t>beyond introductory</w:t>
      </w:r>
      <w:r w:rsidR="004C7221" w:rsidRPr="002B710B">
        <w:rPr>
          <w:rFonts w:ascii="Times New Roman" w:eastAsia="Arial Unicode MS" w:hAnsi="Times New Roman" w:cs="Times New Roman"/>
          <w:color w:val="auto"/>
          <w:sz w:val="24"/>
          <w:szCs w:val="24"/>
        </w:rPr>
        <w:t xml:space="preserve"> chemistry or physics.  </w:t>
      </w:r>
      <w:r w:rsidR="00B86B26" w:rsidRPr="002B710B">
        <w:rPr>
          <w:rFonts w:ascii="Times New Roman" w:eastAsia="Arial Unicode MS" w:hAnsi="Times New Roman" w:cs="Times New Roman"/>
          <w:color w:val="auto"/>
          <w:sz w:val="24"/>
          <w:szCs w:val="24"/>
        </w:rPr>
        <w:t xml:space="preserve"> </w:t>
      </w:r>
      <w:r w:rsidR="003E23B3" w:rsidRPr="002B710B">
        <w:rPr>
          <w:rFonts w:ascii="Times New Roman" w:eastAsia="Arial Unicode MS" w:hAnsi="Times New Roman" w:cs="Times New Roman"/>
          <w:color w:val="auto"/>
          <w:sz w:val="24"/>
          <w:szCs w:val="24"/>
        </w:rPr>
        <w:t xml:space="preserve"> </w:t>
      </w:r>
      <w:r w:rsidR="004C7221" w:rsidRPr="002B710B">
        <w:rPr>
          <w:rFonts w:ascii="Times New Roman" w:eastAsia="Arial Unicode MS" w:hAnsi="Times New Roman" w:cs="Times New Roman"/>
          <w:color w:val="auto"/>
          <w:sz w:val="24"/>
          <w:szCs w:val="24"/>
        </w:rPr>
        <w:lastRenderedPageBreak/>
        <w:t>However,  am</w:t>
      </w:r>
      <w:r w:rsidR="00B86B26" w:rsidRPr="002B710B">
        <w:rPr>
          <w:rFonts w:ascii="Times New Roman" w:eastAsia="Arial Unicode MS" w:hAnsi="Times New Roman" w:cs="Times New Roman"/>
          <w:color w:val="auto"/>
          <w:sz w:val="24"/>
          <w:szCs w:val="24"/>
        </w:rPr>
        <w:t>ong ST</w:t>
      </w:r>
      <w:r w:rsidR="004227FF" w:rsidRPr="002B710B">
        <w:rPr>
          <w:rFonts w:ascii="Times New Roman" w:eastAsia="Arial Unicode MS" w:hAnsi="Times New Roman" w:cs="Times New Roman"/>
          <w:color w:val="auto"/>
          <w:sz w:val="24"/>
          <w:szCs w:val="24"/>
        </w:rPr>
        <w:t xml:space="preserve">EM majors, students </w:t>
      </w:r>
      <w:r w:rsidR="004C7221" w:rsidRPr="002B710B">
        <w:rPr>
          <w:rFonts w:ascii="Times New Roman" w:eastAsia="Arial Unicode MS" w:hAnsi="Times New Roman" w:cs="Times New Roman"/>
          <w:color w:val="auto"/>
          <w:sz w:val="24"/>
          <w:szCs w:val="24"/>
        </w:rPr>
        <w:t xml:space="preserve">typically </w:t>
      </w:r>
      <w:r w:rsidR="00816155">
        <w:rPr>
          <w:rFonts w:ascii="Times New Roman" w:eastAsia="Arial Unicode MS" w:hAnsi="Times New Roman" w:cs="Times New Roman"/>
          <w:color w:val="auto"/>
          <w:sz w:val="24"/>
          <w:szCs w:val="24"/>
        </w:rPr>
        <w:t xml:space="preserve">are </w:t>
      </w:r>
      <w:r w:rsidR="004C7221" w:rsidRPr="002B710B">
        <w:rPr>
          <w:rFonts w:ascii="Times New Roman" w:eastAsia="Arial Unicode MS" w:hAnsi="Times New Roman" w:cs="Times New Roman"/>
          <w:color w:val="auto"/>
          <w:sz w:val="24"/>
          <w:szCs w:val="24"/>
        </w:rPr>
        <w:t>required to take a</w:t>
      </w:r>
      <w:r w:rsidR="004227FF" w:rsidRPr="002B710B">
        <w:rPr>
          <w:rFonts w:ascii="Times New Roman" w:eastAsia="Arial Unicode MS" w:hAnsi="Times New Roman" w:cs="Times New Roman"/>
          <w:color w:val="auto"/>
          <w:sz w:val="24"/>
          <w:szCs w:val="24"/>
        </w:rPr>
        <w:t xml:space="preserve"> more advanced math course (e.g., trigonometry or calculus I) at a minimum</w:t>
      </w:r>
      <w:r w:rsidR="007D50ED" w:rsidRPr="002B710B">
        <w:rPr>
          <w:rFonts w:ascii="Times New Roman" w:eastAsia="Arial Unicode MS" w:hAnsi="Times New Roman" w:cs="Times New Roman"/>
          <w:color w:val="auto"/>
          <w:sz w:val="24"/>
          <w:szCs w:val="24"/>
        </w:rPr>
        <w:t>,</w:t>
      </w:r>
      <w:r w:rsidR="004227FF" w:rsidRPr="002B710B">
        <w:rPr>
          <w:rFonts w:ascii="Times New Roman" w:eastAsia="Arial Unicode MS" w:hAnsi="Times New Roman" w:cs="Times New Roman"/>
          <w:color w:val="auto"/>
          <w:sz w:val="24"/>
          <w:szCs w:val="24"/>
        </w:rPr>
        <w:t xml:space="preserve"> in addition to their other discipline specific lower division coursework, thus providing evidence of previous claims that math “is the backbone of STEM” (Bahr et al., 2016, p.11). </w:t>
      </w:r>
      <w:r w:rsidR="007D50ED" w:rsidRPr="002B710B">
        <w:rPr>
          <w:rFonts w:ascii="Times New Roman" w:eastAsia="Arial Unicode MS" w:hAnsi="Times New Roman" w:cs="Times New Roman"/>
          <w:color w:val="auto"/>
          <w:sz w:val="24"/>
          <w:szCs w:val="24"/>
        </w:rPr>
        <w:t xml:space="preserve"> </w:t>
      </w:r>
      <w:r w:rsidR="004C7221" w:rsidRPr="002B710B">
        <w:rPr>
          <w:rFonts w:ascii="Times New Roman" w:eastAsia="Arial Unicode MS" w:hAnsi="Times New Roman" w:cs="Times New Roman"/>
          <w:color w:val="auto"/>
          <w:sz w:val="24"/>
          <w:szCs w:val="24"/>
        </w:rPr>
        <w:t>Surprisingly</w:t>
      </w:r>
      <w:r w:rsidR="004227FF" w:rsidRPr="002B710B">
        <w:rPr>
          <w:rFonts w:ascii="Times New Roman" w:eastAsia="Arial Unicode MS" w:hAnsi="Times New Roman" w:cs="Times New Roman"/>
          <w:color w:val="auto"/>
          <w:sz w:val="24"/>
          <w:szCs w:val="24"/>
        </w:rPr>
        <w:t xml:space="preserve">, we also found that physics beyond an introductory course was required for STEM majors at </w:t>
      </w:r>
      <w:r w:rsidR="004C7221" w:rsidRPr="002B710B">
        <w:rPr>
          <w:rFonts w:ascii="Times New Roman" w:eastAsia="Arial Unicode MS" w:hAnsi="Times New Roman" w:cs="Times New Roman"/>
          <w:color w:val="auto"/>
          <w:sz w:val="24"/>
          <w:szCs w:val="24"/>
        </w:rPr>
        <w:t>almost the same</w:t>
      </w:r>
      <w:r w:rsidR="004227FF" w:rsidRPr="002B710B">
        <w:rPr>
          <w:rFonts w:ascii="Times New Roman" w:eastAsia="Arial Unicode MS" w:hAnsi="Times New Roman" w:cs="Times New Roman"/>
          <w:color w:val="auto"/>
          <w:sz w:val="24"/>
          <w:szCs w:val="24"/>
        </w:rPr>
        <w:t xml:space="preserve"> rate as math, thus demonstrating </w:t>
      </w:r>
      <w:r w:rsidR="001B102F" w:rsidRPr="002B710B">
        <w:rPr>
          <w:rFonts w:ascii="Times New Roman" w:eastAsia="Arial Unicode MS" w:hAnsi="Times New Roman" w:cs="Times New Roman"/>
          <w:color w:val="auto"/>
          <w:sz w:val="24"/>
          <w:szCs w:val="24"/>
        </w:rPr>
        <w:t>physics</w:t>
      </w:r>
      <w:r w:rsidR="004227FF" w:rsidRPr="002B710B">
        <w:rPr>
          <w:rFonts w:ascii="Times New Roman" w:eastAsia="Arial Unicode MS" w:hAnsi="Times New Roman" w:cs="Times New Roman"/>
          <w:color w:val="auto"/>
          <w:sz w:val="24"/>
          <w:szCs w:val="24"/>
        </w:rPr>
        <w:t xml:space="preserve"> centrality to the STEM curriculum.  </w:t>
      </w:r>
      <w:r w:rsidR="00816155">
        <w:rPr>
          <w:rFonts w:ascii="Times New Roman" w:eastAsia="Arial Unicode MS" w:hAnsi="Times New Roman" w:cs="Times New Roman"/>
          <w:color w:val="auto"/>
          <w:sz w:val="24"/>
          <w:szCs w:val="24"/>
        </w:rPr>
        <w:t>For example,</w:t>
      </w:r>
      <w:r w:rsidR="005F7821">
        <w:rPr>
          <w:rFonts w:ascii="Times New Roman" w:eastAsia="Arial Unicode MS" w:hAnsi="Times New Roman" w:cs="Times New Roman"/>
          <w:color w:val="auto"/>
          <w:sz w:val="24"/>
          <w:szCs w:val="24"/>
        </w:rPr>
        <w:t xml:space="preserve"> even biology majors were required to take a general physics course that was beyond the general education introductory physics course. </w:t>
      </w:r>
    </w:p>
    <w:p w14:paraId="6FF78FCD" w14:textId="77777777" w:rsidR="008249C8" w:rsidRPr="002B710B" w:rsidRDefault="008249C8" w:rsidP="002B710B">
      <w:pPr>
        <w:widowControl w:val="0"/>
        <w:spacing w:after="0" w:line="480" w:lineRule="auto"/>
        <w:rPr>
          <w:rFonts w:ascii="Times New Roman" w:eastAsia="Arial Unicode MS" w:hAnsi="Times New Roman" w:cs="Times New Roman"/>
          <w:color w:val="auto"/>
          <w:sz w:val="24"/>
          <w:szCs w:val="24"/>
        </w:rPr>
      </w:pPr>
      <w:r w:rsidRPr="002B710B">
        <w:rPr>
          <w:rFonts w:ascii="Times New Roman" w:eastAsia="Arial Unicode MS" w:hAnsi="Times New Roman" w:cs="Times New Roman"/>
          <w:b/>
          <w:color w:val="auto"/>
          <w:sz w:val="24"/>
          <w:szCs w:val="24"/>
        </w:rPr>
        <w:t>Analytical Approach</w:t>
      </w:r>
    </w:p>
    <w:p w14:paraId="0754A59C" w14:textId="77777777" w:rsidR="00FA5DA9" w:rsidRDefault="008249C8" w:rsidP="002B710B">
      <w:pPr>
        <w:widowControl w:val="0"/>
        <w:spacing w:after="0" w:line="480" w:lineRule="auto"/>
        <w:rPr>
          <w:rFonts w:ascii="Times New Roman" w:eastAsia="Arial Unicode MS" w:hAnsi="Times New Roman" w:cs="Times New Roman"/>
          <w:color w:val="auto"/>
          <w:sz w:val="24"/>
          <w:szCs w:val="24"/>
        </w:rPr>
      </w:pPr>
      <w:r w:rsidRPr="002B710B">
        <w:rPr>
          <w:rFonts w:ascii="Times New Roman" w:eastAsia="Arial Unicode MS" w:hAnsi="Times New Roman" w:cs="Times New Roman"/>
          <w:color w:val="auto"/>
          <w:sz w:val="24"/>
          <w:szCs w:val="24"/>
        </w:rPr>
        <w:tab/>
      </w:r>
      <w:r w:rsidR="00FA5DA9">
        <w:rPr>
          <w:rFonts w:ascii="Times New Roman" w:eastAsia="Arial Unicode MS" w:hAnsi="Times New Roman" w:cs="Times New Roman"/>
          <w:color w:val="auto"/>
          <w:sz w:val="24"/>
          <w:szCs w:val="24"/>
        </w:rPr>
        <w:t>While we focus on critical combinations for this paper, we also seek to provide baseline information on how students engage, or fail to engage with multiple STEM disciplines.  With that in mind, our analytical approach acts as flow chart of students on the STEM pathway. We first present our descriptive analysis which illuminates how many students actually attempt courses from multiple STEM disciplines.</w:t>
      </w:r>
      <w:r w:rsidR="00CB65DA">
        <w:rPr>
          <w:rStyle w:val="FootnoteReference"/>
          <w:rFonts w:ascii="Times New Roman" w:eastAsia="Arial Unicode MS" w:hAnsi="Times New Roman" w:cs="Times New Roman"/>
          <w:color w:val="auto"/>
          <w:sz w:val="24"/>
          <w:szCs w:val="24"/>
        </w:rPr>
        <w:footnoteReference w:id="1"/>
      </w:r>
      <w:r w:rsidR="00CB65DA">
        <w:rPr>
          <w:rFonts w:ascii="Times New Roman" w:eastAsia="Arial Unicode MS" w:hAnsi="Times New Roman" w:cs="Times New Roman"/>
          <w:color w:val="auto"/>
          <w:sz w:val="24"/>
          <w:szCs w:val="24"/>
        </w:rPr>
        <w:t xml:space="preserve">  </w:t>
      </w:r>
      <w:r w:rsidR="00FA5DA9">
        <w:rPr>
          <w:rFonts w:ascii="Times New Roman" w:eastAsia="Arial Unicode MS" w:hAnsi="Times New Roman" w:cs="Times New Roman"/>
          <w:color w:val="auto"/>
          <w:sz w:val="24"/>
          <w:szCs w:val="24"/>
        </w:rPr>
        <w:t xml:space="preserve">Second, we focus on the students who attempt at least one STEM course and track how many of those students attempt one of our three critical combinations.  This helps to clarify how many students attempt one of these sets of courses.  Finally, we present an analysis of course-taking behavior, specifically the order in which students take these courses to see how success differs by student behavior.  </w:t>
      </w:r>
    </w:p>
    <w:p w14:paraId="55620825" w14:textId="77777777" w:rsidR="00006697" w:rsidRPr="002B710B" w:rsidRDefault="00CB65DA" w:rsidP="00CB65DA">
      <w:pPr>
        <w:widowControl w:val="0"/>
        <w:spacing w:after="0" w:line="480" w:lineRule="auto"/>
        <w:rPr>
          <w:rFonts w:ascii="Times New Roman" w:eastAsia="Arial Unicode MS" w:hAnsi="Times New Roman" w:cs="Times New Roman"/>
          <w:color w:val="auto"/>
          <w:sz w:val="24"/>
          <w:szCs w:val="24"/>
        </w:rPr>
      </w:pPr>
      <w:r>
        <w:rPr>
          <w:rFonts w:ascii="Times New Roman" w:eastAsia="Arial Unicode MS" w:hAnsi="Times New Roman" w:cs="Times New Roman"/>
          <w:color w:val="auto"/>
          <w:sz w:val="24"/>
          <w:szCs w:val="24"/>
        </w:rPr>
        <w:tab/>
        <w:t xml:space="preserve">In each of our figures, we provide information for all students and then break up the population by historically advantaged students/ historically disadvantaged students, and males/females.  In addition, we provide the proportion of students who attain outcomes of </w:t>
      </w:r>
      <w:r>
        <w:rPr>
          <w:rFonts w:ascii="Times New Roman" w:eastAsia="Arial Unicode MS" w:hAnsi="Times New Roman" w:cs="Times New Roman"/>
          <w:color w:val="auto"/>
          <w:sz w:val="24"/>
          <w:szCs w:val="24"/>
        </w:rPr>
        <w:lastRenderedPageBreak/>
        <w:t>interest.  Specifically, we include students who achieve a credential (cred), transferred (</w:t>
      </w:r>
      <w:proofErr w:type="spellStart"/>
      <w:proofErr w:type="gramStart"/>
      <w:r>
        <w:rPr>
          <w:rFonts w:ascii="Times New Roman" w:eastAsia="Arial Unicode MS" w:hAnsi="Times New Roman" w:cs="Times New Roman"/>
          <w:color w:val="auto"/>
          <w:sz w:val="24"/>
          <w:szCs w:val="24"/>
        </w:rPr>
        <w:t>tran</w:t>
      </w:r>
      <w:proofErr w:type="spellEnd"/>
      <w:proofErr w:type="gramEnd"/>
      <w:r>
        <w:rPr>
          <w:rFonts w:ascii="Times New Roman" w:eastAsia="Arial Unicode MS" w:hAnsi="Times New Roman" w:cs="Times New Roman"/>
          <w:color w:val="auto"/>
          <w:sz w:val="24"/>
          <w:szCs w:val="24"/>
        </w:rPr>
        <w:t>), transferred with a credential (</w:t>
      </w:r>
      <w:proofErr w:type="spellStart"/>
      <w:r>
        <w:rPr>
          <w:rFonts w:ascii="Times New Roman" w:eastAsia="Arial Unicode MS" w:hAnsi="Times New Roman" w:cs="Times New Roman"/>
          <w:color w:val="auto"/>
          <w:sz w:val="24"/>
          <w:szCs w:val="24"/>
        </w:rPr>
        <w:t>cred+tran</w:t>
      </w:r>
      <w:proofErr w:type="spellEnd"/>
      <w:r>
        <w:rPr>
          <w:rFonts w:ascii="Times New Roman" w:eastAsia="Arial Unicode MS" w:hAnsi="Times New Roman" w:cs="Times New Roman"/>
          <w:color w:val="auto"/>
          <w:sz w:val="24"/>
          <w:szCs w:val="24"/>
        </w:rPr>
        <w:t xml:space="preserve">), or did not transfer or receive a credential (neither).   In this study, receiving a credential is defined as attaining an associate degree or a certificate and transfer is defined as transferring to a four-year institution.  </w:t>
      </w:r>
      <w:r w:rsidR="00006697" w:rsidRPr="002B710B">
        <w:rPr>
          <w:rFonts w:ascii="Times New Roman" w:eastAsia="Arial Unicode MS" w:hAnsi="Times New Roman" w:cs="Times New Roman"/>
          <w:color w:val="auto"/>
          <w:sz w:val="24"/>
          <w:szCs w:val="24"/>
        </w:rPr>
        <w:t xml:space="preserve"> </w:t>
      </w:r>
    </w:p>
    <w:p w14:paraId="2CDF4F4E" w14:textId="77777777" w:rsidR="008249C8" w:rsidRPr="002B710B" w:rsidRDefault="00606EF6" w:rsidP="002B710B">
      <w:pPr>
        <w:widowControl w:val="0"/>
        <w:spacing w:after="0" w:line="480" w:lineRule="auto"/>
        <w:ind w:firstLine="720"/>
        <w:rPr>
          <w:rFonts w:ascii="Times New Roman" w:eastAsia="Arial Unicode MS" w:hAnsi="Times New Roman" w:cs="Times New Roman"/>
          <w:color w:val="auto"/>
          <w:sz w:val="24"/>
          <w:szCs w:val="24"/>
        </w:rPr>
      </w:pPr>
      <w:r w:rsidRPr="002B710B">
        <w:rPr>
          <w:rFonts w:ascii="Times New Roman" w:eastAsia="Arial Unicode MS" w:hAnsi="Times New Roman" w:cs="Times New Roman"/>
          <w:color w:val="auto"/>
          <w:sz w:val="24"/>
          <w:szCs w:val="24"/>
        </w:rPr>
        <w:t xml:space="preserve">This </w:t>
      </w:r>
      <w:r w:rsidR="00CB65DA">
        <w:rPr>
          <w:rFonts w:ascii="Times New Roman" w:eastAsia="Arial Unicode MS" w:hAnsi="Times New Roman" w:cs="Times New Roman"/>
          <w:color w:val="auto"/>
          <w:sz w:val="24"/>
          <w:szCs w:val="24"/>
        </w:rPr>
        <w:t xml:space="preserve">descriptive </w:t>
      </w:r>
      <w:r w:rsidRPr="002B710B">
        <w:rPr>
          <w:rFonts w:ascii="Times New Roman" w:eastAsia="Arial Unicode MS" w:hAnsi="Times New Roman" w:cs="Times New Roman"/>
          <w:color w:val="auto"/>
          <w:sz w:val="24"/>
          <w:szCs w:val="24"/>
        </w:rPr>
        <w:t xml:space="preserve">approach allows us to provide important information </w:t>
      </w:r>
      <w:r w:rsidR="00A85FBD">
        <w:rPr>
          <w:rFonts w:ascii="Times New Roman" w:eastAsia="Arial Unicode MS" w:hAnsi="Times New Roman" w:cs="Times New Roman"/>
          <w:color w:val="auto"/>
          <w:sz w:val="24"/>
          <w:szCs w:val="24"/>
        </w:rPr>
        <w:t>about</w:t>
      </w:r>
      <w:r w:rsidR="00A85FBD" w:rsidRPr="002B710B">
        <w:rPr>
          <w:rFonts w:ascii="Times New Roman" w:eastAsia="Arial Unicode MS" w:hAnsi="Times New Roman" w:cs="Times New Roman"/>
          <w:color w:val="auto"/>
          <w:sz w:val="24"/>
          <w:szCs w:val="24"/>
        </w:rPr>
        <w:t xml:space="preserve"> </w:t>
      </w:r>
      <w:r w:rsidRPr="002B710B">
        <w:rPr>
          <w:rFonts w:ascii="Times New Roman" w:eastAsia="Arial Unicode MS" w:hAnsi="Times New Roman" w:cs="Times New Roman"/>
          <w:color w:val="auto"/>
          <w:sz w:val="24"/>
          <w:szCs w:val="24"/>
        </w:rPr>
        <w:t>how students are engaging with interdisciplinary curriculum</w:t>
      </w:r>
      <w:r w:rsidR="00CB65DA">
        <w:rPr>
          <w:rFonts w:ascii="Times New Roman" w:eastAsia="Arial Unicode MS" w:hAnsi="Times New Roman" w:cs="Times New Roman"/>
          <w:color w:val="auto"/>
          <w:sz w:val="24"/>
          <w:szCs w:val="24"/>
        </w:rPr>
        <w:t>, how many students attempt critical course combinations, how the progression and outcomes of these students differ by race and sext,</w:t>
      </w:r>
      <w:r w:rsidRPr="002B710B">
        <w:rPr>
          <w:rFonts w:ascii="Times New Roman" w:eastAsia="Arial Unicode MS" w:hAnsi="Times New Roman" w:cs="Times New Roman"/>
          <w:color w:val="auto"/>
          <w:sz w:val="24"/>
          <w:szCs w:val="24"/>
        </w:rPr>
        <w:t xml:space="preserve"> and how success in </w:t>
      </w:r>
      <w:r w:rsidR="00CB65DA">
        <w:rPr>
          <w:rFonts w:ascii="Times New Roman" w:eastAsia="Arial Unicode MS" w:hAnsi="Times New Roman" w:cs="Times New Roman"/>
          <w:color w:val="auto"/>
          <w:sz w:val="24"/>
          <w:szCs w:val="24"/>
        </w:rPr>
        <w:t xml:space="preserve">these courses differs by course taking behavior.  Given that these courses are advanced in their respective disciplines, we believe that taking a flow-chart approach provides the reader with context for how outcomes of these students changes by increased STEM engagement.  </w:t>
      </w:r>
    </w:p>
    <w:p w14:paraId="0DF23157" w14:textId="77777777" w:rsidR="004227FF" w:rsidRPr="002B710B" w:rsidRDefault="004227FF" w:rsidP="002B710B">
      <w:pPr>
        <w:widowControl w:val="0"/>
        <w:spacing w:after="0" w:line="480" w:lineRule="auto"/>
        <w:rPr>
          <w:rFonts w:ascii="Times New Roman" w:eastAsia="Arial Unicode MS" w:hAnsi="Times New Roman" w:cs="Times New Roman"/>
          <w:b/>
          <w:color w:val="auto"/>
          <w:sz w:val="24"/>
          <w:szCs w:val="24"/>
        </w:rPr>
      </w:pPr>
      <w:r w:rsidRPr="002B710B">
        <w:rPr>
          <w:rFonts w:ascii="Times New Roman" w:eastAsia="Arial Unicode MS" w:hAnsi="Times New Roman" w:cs="Times New Roman"/>
          <w:b/>
          <w:color w:val="auto"/>
          <w:sz w:val="24"/>
          <w:szCs w:val="24"/>
        </w:rPr>
        <w:t>Limitations</w:t>
      </w:r>
    </w:p>
    <w:p w14:paraId="1F5B8D75" w14:textId="77777777" w:rsidR="00724526" w:rsidRDefault="00A85FBD">
      <w:pPr>
        <w:widowControl w:val="0"/>
        <w:spacing w:after="0" w:line="480" w:lineRule="auto"/>
        <w:ind w:firstLine="720"/>
        <w:rPr>
          <w:rFonts w:ascii="Times New Roman" w:eastAsia="Arial Unicode MS" w:hAnsi="Times New Roman" w:cs="Times New Roman"/>
          <w:color w:val="auto"/>
          <w:sz w:val="24"/>
          <w:szCs w:val="24"/>
        </w:rPr>
      </w:pPr>
      <w:r>
        <w:rPr>
          <w:rFonts w:ascii="Times New Roman" w:eastAsia="Arial Unicode MS" w:hAnsi="Times New Roman" w:cs="Times New Roman"/>
          <w:color w:val="auto"/>
          <w:sz w:val="24"/>
          <w:szCs w:val="24"/>
        </w:rPr>
        <w:t>This</w:t>
      </w:r>
      <w:r w:rsidR="008249C8" w:rsidRPr="002B710B">
        <w:rPr>
          <w:rFonts w:ascii="Times New Roman" w:eastAsia="Arial Unicode MS" w:hAnsi="Times New Roman" w:cs="Times New Roman"/>
          <w:color w:val="auto"/>
          <w:sz w:val="24"/>
          <w:szCs w:val="24"/>
        </w:rPr>
        <w:t xml:space="preserve"> study </w:t>
      </w:r>
      <w:r>
        <w:rPr>
          <w:rFonts w:ascii="Times New Roman" w:eastAsia="Arial Unicode MS" w:hAnsi="Times New Roman" w:cs="Times New Roman"/>
          <w:color w:val="auto"/>
          <w:sz w:val="24"/>
          <w:szCs w:val="24"/>
        </w:rPr>
        <w:t>has several limitations</w:t>
      </w:r>
      <w:r w:rsidR="008249C8" w:rsidRPr="002B710B">
        <w:rPr>
          <w:rFonts w:ascii="Times New Roman" w:eastAsia="Arial Unicode MS" w:hAnsi="Times New Roman" w:cs="Times New Roman"/>
          <w:color w:val="auto"/>
          <w:sz w:val="24"/>
          <w:szCs w:val="24"/>
        </w:rPr>
        <w:t xml:space="preserve">.  First, </w:t>
      </w:r>
      <w:r w:rsidR="00006697" w:rsidRPr="002B710B">
        <w:rPr>
          <w:rFonts w:ascii="Times New Roman" w:eastAsia="Arial Unicode MS" w:hAnsi="Times New Roman" w:cs="Times New Roman"/>
          <w:color w:val="auto"/>
          <w:sz w:val="24"/>
          <w:szCs w:val="24"/>
        </w:rPr>
        <w:t xml:space="preserve">given that we focused on specific course </w:t>
      </w:r>
      <w:r w:rsidR="00D347FB" w:rsidRPr="002B710B">
        <w:rPr>
          <w:rFonts w:ascii="Times New Roman" w:eastAsia="Arial Unicode MS" w:hAnsi="Times New Roman" w:cs="Times New Roman"/>
          <w:color w:val="auto"/>
          <w:sz w:val="24"/>
          <w:szCs w:val="24"/>
        </w:rPr>
        <w:t xml:space="preserve">pairs </w:t>
      </w:r>
      <w:r w:rsidR="00006697" w:rsidRPr="002B710B">
        <w:rPr>
          <w:rFonts w:ascii="Times New Roman" w:eastAsia="Arial Unicode MS" w:hAnsi="Times New Roman" w:cs="Times New Roman"/>
          <w:color w:val="auto"/>
          <w:sz w:val="24"/>
          <w:szCs w:val="24"/>
        </w:rPr>
        <w:t xml:space="preserve">that often require prerequisite courses </w:t>
      </w:r>
      <w:r w:rsidR="00CD2C00" w:rsidRPr="002B710B">
        <w:rPr>
          <w:rFonts w:ascii="Times New Roman" w:eastAsia="Arial Unicode MS" w:hAnsi="Times New Roman" w:cs="Times New Roman"/>
          <w:color w:val="auto"/>
          <w:sz w:val="24"/>
          <w:szCs w:val="24"/>
        </w:rPr>
        <w:t>or</w:t>
      </w:r>
      <w:r w:rsidR="00D347FB" w:rsidRPr="002B710B">
        <w:rPr>
          <w:rFonts w:ascii="Times New Roman" w:eastAsia="Arial Unicode MS" w:hAnsi="Times New Roman" w:cs="Times New Roman"/>
          <w:color w:val="auto"/>
          <w:sz w:val="24"/>
          <w:szCs w:val="24"/>
        </w:rPr>
        <w:t>,</w:t>
      </w:r>
      <w:r w:rsidR="00CD2C00" w:rsidRPr="002B710B">
        <w:rPr>
          <w:rFonts w:ascii="Times New Roman" w:eastAsia="Arial Unicode MS" w:hAnsi="Times New Roman" w:cs="Times New Roman"/>
          <w:color w:val="auto"/>
          <w:sz w:val="24"/>
          <w:szCs w:val="24"/>
        </w:rPr>
        <w:t xml:space="preserve"> for many students</w:t>
      </w:r>
      <w:r w:rsidR="00D347FB" w:rsidRPr="002B710B">
        <w:rPr>
          <w:rFonts w:ascii="Times New Roman" w:eastAsia="Arial Unicode MS" w:hAnsi="Times New Roman" w:cs="Times New Roman"/>
          <w:color w:val="auto"/>
          <w:sz w:val="24"/>
          <w:szCs w:val="24"/>
        </w:rPr>
        <w:t>,</w:t>
      </w:r>
      <w:r w:rsidR="00CD2C00" w:rsidRPr="002B710B">
        <w:rPr>
          <w:rFonts w:ascii="Times New Roman" w:eastAsia="Arial Unicode MS" w:hAnsi="Times New Roman" w:cs="Times New Roman"/>
          <w:color w:val="auto"/>
          <w:sz w:val="24"/>
          <w:szCs w:val="24"/>
        </w:rPr>
        <w:t xml:space="preserve"> developmental education</w:t>
      </w:r>
      <w:r w:rsidR="00006697" w:rsidRPr="002B710B">
        <w:rPr>
          <w:rFonts w:ascii="Times New Roman" w:eastAsia="Arial Unicode MS" w:hAnsi="Times New Roman" w:cs="Times New Roman"/>
          <w:color w:val="auto"/>
          <w:sz w:val="24"/>
          <w:szCs w:val="24"/>
        </w:rPr>
        <w:t>, our analysis cannot speak to the effect of earlier courses in a sequence</w:t>
      </w:r>
      <w:r w:rsidR="006A77F2" w:rsidRPr="002B710B">
        <w:rPr>
          <w:rFonts w:ascii="Times New Roman" w:eastAsia="Arial Unicode MS" w:hAnsi="Times New Roman" w:cs="Times New Roman"/>
          <w:color w:val="auto"/>
          <w:sz w:val="24"/>
          <w:szCs w:val="24"/>
        </w:rPr>
        <w:t xml:space="preserve"> on our outcomes of interest</w:t>
      </w:r>
      <w:r w:rsidR="00006697" w:rsidRPr="002B710B">
        <w:rPr>
          <w:rFonts w:ascii="Times New Roman" w:eastAsia="Arial Unicode MS" w:hAnsi="Times New Roman" w:cs="Times New Roman"/>
          <w:color w:val="auto"/>
          <w:sz w:val="24"/>
          <w:szCs w:val="24"/>
        </w:rPr>
        <w:t>.  However, others have focused on this work</w:t>
      </w:r>
      <w:r w:rsidR="006A77F2" w:rsidRPr="002B710B">
        <w:rPr>
          <w:rFonts w:ascii="Times New Roman" w:eastAsia="Arial Unicode MS" w:hAnsi="Times New Roman" w:cs="Times New Roman"/>
          <w:color w:val="auto"/>
          <w:sz w:val="24"/>
          <w:szCs w:val="24"/>
        </w:rPr>
        <w:t>,</w:t>
      </w:r>
      <w:r w:rsidR="00006697" w:rsidRPr="002B710B">
        <w:rPr>
          <w:rFonts w:ascii="Times New Roman" w:eastAsia="Arial Unicode MS" w:hAnsi="Times New Roman" w:cs="Times New Roman"/>
          <w:color w:val="auto"/>
          <w:sz w:val="24"/>
          <w:szCs w:val="24"/>
        </w:rPr>
        <w:t xml:space="preserve"> and for a more comprehensive </w:t>
      </w:r>
      <w:r w:rsidR="006A77F2" w:rsidRPr="002B710B">
        <w:rPr>
          <w:rFonts w:ascii="Times New Roman" w:eastAsia="Arial Unicode MS" w:hAnsi="Times New Roman" w:cs="Times New Roman"/>
          <w:color w:val="auto"/>
          <w:sz w:val="24"/>
          <w:szCs w:val="24"/>
        </w:rPr>
        <w:t>review</w:t>
      </w:r>
      <w:r w:rsidR="00006697" w:rsidRPr="002B710B">
        <w:rPr>
          <w:rFonts w:ascii="Times New Roman" w:eastAsia="Arial Unicode MS" w:hAnsi="Times New Roman" w:cs="Times New Roman"/>
          <w:color w:val="auto"/>
          <w:sz w:val="24"/>
          <w:szCs w:val="24"/>
        </w:rPr>
        <w:t xml:space="preserve"> see Bahr et al. (2016) and Wang (2015).</w:t>
      </w:r>
    </w:p>
    <w:p w14:paraId="164E737C" w14:textId="77777777" w:rsidR="00724526" w:rsidRDefault="00006697">
      <w:pPr>
        <w:widowControl w:val="0"/>
        <w:spacing w:after="0" w:line="480" w:lineRule="auto"/>
        <w:ind w:firstLine="720"/>
        <w:rPr>
          <w:rFonts w:ascii="Times New Roman" w:eastAsia="Arial Unicode MS" w:hAnsi="Times New Roman" w:cs="Times New Roman"/>
          <w:color w:val="auto"/>
          <w:sz w:val="24"/>
          <w:szCs w:val="24"/>
        </w:rPr>
      </w:pPr>
      <w:r w:rsidRPr="002B710B">
        <w:rPr>
          <w:rFonts w:ascii="Times New Roman" w:eastAsia="Arial Unicode MS" w:hAnsi="Times New Roman" w:cs="Times New Roman"/>
          <w:color w:val="auto"/>
          <w:sz w:val="24"/>
          <w:szCs w:val="24"/>
        </w:rPr>
        <w:t>Second, w</w:t>
      </w:r>
      <w:r w:rsidR="004227FF" w:rsidRPr="002B710B">
        <w:rPr>
          <w:rFonts w:ascii="Times New Roman" w:eastAsia="Arial Unicode MS" w:hAnsi="Times New Roman" w:cs="Times New Roman"/>
          <w:color w:val="auto"/>
          <w:sz w:val="24"/>
          <w:szCs w:val="24"/>
        </w:rPr>
        <w:t xml:space="preserve">e </w:t>
      </w:r>
      <w:r w:rsidRPr="002B710B">
        <w:rPr>
          <w:rFonts w:ascii="Times New Roman" w:eastAsia="Arial Unicode MS" w:hAnsi="Times New Roman" w:cs="Times New Roman"/>
          <w:color w:val="auto"/>
          <w:sz w:val="24"/>
          <w:szCs w:val="24"/>
        </w:rPr>
        <w:t>focus on students</w:t>
      </w:r>
      <w:r w:rsidR="001C7D7A" w:rsidRPr="002B710B">
        <w:rPr>
          <w:rFonts w:ascii="Times New Roman" w:eastAsia="Arial Unicode MS" w:hAnsi="Times New Roman" w:cs="Times New Roman"/>
          <w:color w:val="auto"/>
          <w:sz w:val="24"/>
          <w:szCs w:val="24"/>
        </w:rPr>
        <w:t>’</w:t>
      </w:r>
      <w:r w:rsidRPr="002B710B">
        <w:rPr>
          <w:rFonts w:ascii="Times New Roman" w:eastAsia="Arial Unicode MS" w:hAnsi="Times New Roman" w:cs="Times New Roman"/>
          <w:color w:val="auto"/>
          <w:sz w:val="24"/>
          <w:szCs w:val="24"/>
        </w:rPr>
        <w:t xml:space="preserve"> first enrollment in a course and subsequent grade</w:t>
      </w:r>
      <w:r w:rsidR="008A67C5">
        <w:rPr>
          <w:rFonts w:ascii="Times New Roman" w:eastAsia="Arial Unicode MS" w:hAnsi="Times New Roman" w:cs="Times New Roman"/>
          <w:color w:val="auto"/>
          <w:sz w:val="24"/>
          <w:szCs w:val="24"/>
        </w:rPr>
        <w:t xml:space="preserve"> because our primary concern is whether and how students engage with STEM coursework across disciplines</w:t>
      </w:r>
      <w:r w:rsidRPr="002B710B">
        <w:rPr>
          <w:rFonts w:ascii="Times New Roman" w:eastAsia="Arial Unicode MS" w:hAnsi="Times New Roman" w:cs="Times New Roman"/>
          <w:color w:val="auto"/>
          <w:sz w:val="24"/>
          <w:szCs w:val="24"/>
        </w:rPr>
        <w:t xml:space="preserve">.  </w:t>
      </w:r>
      <w:r w:rsidR="00293B31">
        <w:rPr>
          <w:rFonts w:ascii="Times New Roman" w:eastAsia="Arial Unicode MS" w:hAnsi="Times New Roman" w:cs="Times New Roman"/>
          <w:color w:val="auto"/>
          <w:sz w:val="24"/>
          <w:szCs w:val="24"/>
        </w:rPr>
        <w:t xml:space="preserve">As a result, we do not direction attention to </w:t>
      </w:r>
      <w:r w:rsidR="004227FF" w:rsidRPr="002B710B">
        <w:rPr>
          <w:rFonts w:ascii="Times New Roman" w:eastAsia="Arial Unicode MS" w:hAnsi="Times New Roman" w:cs="Times New Roman"/>
          <w:color w:val="auto"/>
          <w:sz w:val="24"/>
          <w:szCs w:val="24"/>
        </w:rPr>
        <w:t xml:space="preserve">how many times </w:t>
      </w:r>
      <w:r w:rsidR="00293B31">
        <w:rPr>
          <w:rFonts w:ascii="Times New Roman" w:eastAsia="Arial Unicode MS" w:hAnsi="Times New Roman" w:cs="Times New Roman"/>
          <w:color w:val="auto"/>
          <w:sz w:val="24"/>
          <w:szCs w:val="24"/>
        </w:rPr>
        <w:t xml:space="preserve">a student </w:t>
      </w:r>
      <w:r w:rsidR="004227FF" w:rsidRPr="002B710B">
        <w:rPr>
          <w:rFonts w:ascii="Times New Roman" w:eastAsia="Arial Unicode MS" w:hAnsi="Times New Roman" w:cs="Times New Roman"/>
          <w:color w:val="auto"/>
          <w:sz w:val="24"/>
          <w:szCs w:val="24"/>
        </w:rPr>
        <w:t xml:space="preserve">took a </w:t>
      </w:r>
      <w:r w:rsidR="00293B31">
        <w:rPr>
          <w:rFonts w:ascii="Times New Roman" w:eastAsia="Arial Unicode MS" w:hAnsi="Times New Roman" w:cs="Times New Roman"/>
          <w:color w:val="auto"/>
          <w:sz w:val="24"/>
          <w:szCs w:val="24"/>
        </w:rPr>
        <w:t xml:space="preserve">particular STEM </w:t>
      </w:r>
      <w:r w:rsidR="004227FF" w:rsidRPr="002B710B">
        <w:rPr>
          <w:rFonts w:ascii="Times New Roman" w:eastAsia="Arial Unicode MS" w:hAnsi="Times New Roman" w:cs="Times New Roman"/>
          <w:color w:val="auto"/>
          <w:sz w:val="24"/>
          <w:szCs w:val="24"/>
        </w:rPr>
        <w:t>course</w:t>
      </w:r>
      <w:r w:rsidRPr="002B710B">
        <w:rPr>
          <w:rFonts w:ascii="Times New Roman" w:eastAsia="Arial Unicode MS" w:hAnsi="Times New Roman" w:cs="Times New Roman"/>
          <w:color w:val="auto"/>
          <w:sz w:val="24"/>
          <w:szCs w:val="24"/>
        </w:rPr>
        <w:t xml:space="preserve">.  </w:t>
      </w:r>
      <w:r w:rsidR="00601185">
        <w:rPr>
          <w:rFonts w:ascii="Times New Roman" w:eastAsia="Arial Unicode MS" w:hAnsi="Times New Roman" w:cs="Times New Roman"/>
          <w:color w:val="auto"/>
          <w:sz w:val="24"/>
          <w:szCs w:val="24"/>
        </w:rPr>
        <w:t>This</w:t>
      </w:r>
      <w:r w:rsidRPr="002B710B">
        <w:rPr>
          <w:rFonts w:ascii="Times New Roman" w:eastAsia="Arial Unicode MS" w:hAnsi="Times New Roman" w:cs="Times New Roman"/>
          <w:color w:val="auto"/>
          <w:sz w:val="24"/>
          <w:szCs w:val="24"/>
        </w:rPr>
        <w:t xml:space="preserve"> limits our understanding of how many times students may have to take a specific course</w:t>
      </w:r>
      <w:r w:rsidR="00C47D54" w:rsidRPr="002B710B">
        <w:rPr>
          <w:rFonts w:ascii="Times New Roman" w:eastAsia="Arial Unicode MS" w:hAnsi="Times New Roman" w:cs="Times New Roman"/>
          <w:color w:val="auto"/>
          <w:sz w:val="24"/>
          <w:szCs w:val="24"/>
        </w:rPr>
        <w:t>,</w:t>
      </w:r>
      <w:r w:rsidRPr="002B710B">
        <w:rPr>
          <w:rFonts w:ascii="Times New Roman" w:eastAsia="Arial Unicode MS" w:hAnsi="Times New Roman" w:cs="Times New Roman"/>
          <w:color w:val="auto"/>
          <w:sz w:val="24"/>
          <w:szCs w:val="24"/>
        </w:rPr>
        <w:t xml:space="preserve"> which would be helpful in understanding which courses in interdisciplinary coursework are precluding students from progressing in STEM. </w:t>
      </w:r>
      <w:r w:rsidR="00601185">
        <w:rPr>
          <w:rFonts w:ascii="Times New Roman" w:eastAsia="Arial Unicode MS" w:hAnsi="Times New Roman" w:cs="Times New Roman"/>
          <w:color w:val="auto"/>
          <w:sz w:val="24"/>
          <w:szCs w:val="24"/>
        </w:rPr>
        <w:t xml:space="preserve">  For example, </w:t>
      </w:r>
      <w:r w:rsidR="00601185">
        <w:rPr>
          <w:rFonts w:ascii="Times New Roman" w:eastAsia="Arial Unicode MS" w:hAnsi="Times New Roman" w:cs="Times New Roman"/>
          <w:color w:val="auto"/>
          <w:sz w:val="24"/>
          <w:szCs w:val="24"/>
        </w:rPr>
        <w:lastRenderedPageBreak/>
        <w:t xml:space="preserve">the failure rate in some of these courses was relatively high and many students take a course multiple times.  In this study, we focus on the first attempt and it is possibly that a second attempt on a math course may yield a passing outcome at a higher rate that a second attempt at a physics course.  This could we helpful information, but is not accounted for in this study. </w:t>
      </w:r>
    </w:p>
    <w:p w14:paraId="5AB11571" w14:textId="77777777" w:rsidR="00724526" w:rsidRDefault="0094568B">
      <w:pPr>
        <w:widowControl w:val="0"/>
        <w:spacing w:after="0" w:line="480" w:lineRule="auto"/>
        <w:ind w:firstLine="720"/>
        <w:rPr>
          <w:rFonts w:ascii="Times New Roman" w:eastAsia="Arial Unicode MS" w:hAnsi="Times New Roman" w:cs="Times New Roman"/>
          <w:color w:val="auto"/>
          <w:sz w:val="24"/>
          <w:szCs w:val="24"/>
        </w:rPr>
      </w:pPr>
      <w:r w:rsidRPr="002B710B">
        <w:rPr>
          <w:rFonts w:ascii="Times New Roman" w:eastAsia="Arial Unicode MS" w:hAnsi="Times New Roman" w:cs="Times New Roman"/>
          <w:color w:val="auto"/>
          <w:sz w:val="24"/>
          <w:szCs w:val="24"/>
        </w:rPr>
        <w:t>Third, unlike other pathway studies that attempt to map all courses in a given discipline</w:t>
      </w:r>
      <w:r w:rsidR="00293B31">
        <w:rPr>
          <w:rFonts w:ascii="Times New Roman" w:eastAsia="Arial Unicode MS" w:hAnsi="Times New Roman" w:cs="Times New Roman"/>
          <w:color w:val="auto"/>
          <w:sz w:val="24"/>
          <w:szCs w:val="24"/>
        </w:rPr>
        <w:t xml:space="preserve"> (e.g., Bahr et al., 2016)</w:t>
      </w:r>
      <w:r w:rsidRPr="002B710B">
        <w:rPr>
          <w:rFonts w:ascii="Times New Roman" w:eastAsia="Arial Unicode MS" w:hAnsi="Times New Roman" w:cs="Times New Roman"/>
          <w:color w:val="auto"/>
          <w:sz w:val="24"/>
          <w:szCs w:val="24"/>
        </w:rPr>
        <w:t>, this study focuses on specific pairs of courses</w:t>
      </w:r>
      <w:r w:rsidR="00293B31">
        <w:rPr>
          <w:rFonts w:ascii="Times New Roman" w:eastAsia="Arial Unicode MS" w:hAnsi="Times New Roman" w:cs="Times New Roman"/>
          <w:color w:val="auto"/>
          <w:sz w:val="24"/>
          <w:szCs w:val="24"/>
        </w:rPr>
        <w:t xml:space="preserve"> across disciplines, which is critical to understand how progress in one discipline influences progress in another</w:t>
      </w:r>
      <w:r w:rsidRPr="002B710B">
        <w:rPr>
          <w:rFonts w:ascii="Times New Roman" w:eastAsia="Arial Unicode MS" w:hAnsi="Times New Roman" w:cs="Times New Roman"/>
          <w:color w:val="auto"/>
          <w:sz w:val="24"/>
          <w:szCs w:val="24"/>
        </w:rPr>
        <w:t>.</w:t>
      </w:r>
      <w:r w:rsidR="007A63C9" w:rsidRPr="002B710B">
        <w:rPr>
          <w:rFonts w:ascii="Times New Roman" w:eastAsia="Arial Unicode MS" w:hAnsi="Times New Roman" w:cs="Times New Roman"/>
          <w:color w:val="auto"/>
          <w:sz w:val="24"/>
          <w:szCs w:val="24"/>
        </w:rPr>
        <w:t xml:space="preserve"> </w:t>
      </w:r>
      <w:r w:rsidR="00601185">
        <w:rPr>
          <w:rFonts w:ascii="Times New Roman" w:eastAsia="Arial Unicode MS" w:hAnsi="Times New Roman" w:cs="Times New Roman"/>
          <w:color w:val="auto"/>
          <w:sz w:val="24"/>
          <w:szCs w:val="24"/>
        </w:rPr>
        <w:t xml:space="preserve">However, we do not account for how the course pathway leading up to the critical combination may be associated with student’s outcome.  </w:t>
      </w:r>
      <w:r w:rsidRPr="002B710B">
        <w:rPr>
          <w:rFonts w:ascii="Times New Roman" w:eastAsia="Arial Unicode MS" w:hAnsi="Times New Roman" w:cs="Times New Roman"/>
          <w:color w:val="auto"/>
          <w:sz w:val="24"/>
          <w:szCs w:val="24"/>
        </w:rPr>
        <w:t xml:space="preserve">  </w:t>
      </w:r>
      <w:r w:rsidR="00601185">
        <w:rPr>
          <w:rFonts w:ascii="Times New Roman" w:eastAsia="Arial Unicode MS" w:hAnsi="Times New Roman" w:cs="Times New Roman"/>
          <w:color w:val="auto"/>
          <w:sz w:val="24"/>
          <w:szCs w:val="24"/>
        </w:rPr>
        <w:t>This</w:t>
      </w:r>
      <w:r w:rsidRPr="002B710B">
        <w:rPr>
          <w:rFonts w:ascii="Times New Roman" w:eastAsia="Arial Unicode MS" w:hAnsi="Times New Roman" w:cs="Times New Roman"/>
          <w:color w:val="auto"/>
          <w:sz w:val="24"/>
          <w:szCs w:val="24"/>
        </w:rPr>
        <w:t xml:space="preserve"> limits </w:t>
      </w:r>
      <w:r w:rsidR="00293B31">
        <w:rPr>
          <w:rFonts w:ascii="Times New Roman" w:eastAsia="Arial Unicode MS" w:hAnsi="Times New Roman" w:cs="Times New Roman"/>
          <w:color w:val="auto"/>
          <w:sz w:val="24"/>
          <w:szCs w:val="24"/>
        </w:rPr>
        <w:t xml:space="preserve">the </w:t>
      </w:r>
      <w:r w:rsidRPr="002B710B">
        <w:rPr>
          <w:rFonts w:ascii="Times New Roman" w:eastAsia="Arial Unicode MS" w:hAnsi="Times New Roman" w:cs="Times New Roman"/>
          <w:color w:val="auto"/>
          <w:sz w:val="24"/>
          <w:szCs w:val="24"/>
        </w:rPr>
        <w:t xml:space="preserve">ability </w:t>
      </w:r>
      <w:r w:rsidR="00293B31">
        <w:rPr>
          <w:rFonts w:ascii="Times New Roman" w:eastAsia="Arial Unicode MS" w:hAnsi="Times New Roman" w:cs="Times New Roman"/>
          <w:color w:val="auto"/>
          <w:sz w:val="24"/>
          <w:szCs w:val="24"/>
        </w:rPr>
        <w:t xml:space="preserve">of this study </w:t>
      </w:r>
      <w:r w:rsidRPr="002B710B">
        <w:rPr>
          <w:rFonts w:ascii="Times New Roman" w:eastAsia="Arial Unicode MS" w:hAnsi="Times New Roman" w:cs="Times New Roman"/>
          <w:color w:val="auto"/>
          <w:sz w:val="24"/>
          <w:szCs w:val="24"/>
        </w:rPr>
        <w:t xml:space="preserve">to </w:t>
      </w:r>
      <w:r w:rsidR="00293B31">
        <w:rPr>
          <w:rFonts w:ascii="Times New Roman" w:eastAsia="Arial Unicode MS" w:hAnsi="Times New Roman" w:cs="Times New Roman"/>
          <w:color w:val="auto"/>
          <w:sz w:val="24"/>
          <w:szCs w:val="24"/>
        </w:rPr>
        <w:t xml:space="preserve">speak </w:t>
      </w:r>
      <w:r w:rsidR="00601185">
        <w:rPr>
          <w:rFonts w:ascii="Times New Roman" w:eastAsia="Arial Unicode MS" w:hAnsi="Times New Roman" w:cs="Times New Roman"/>
          <w:color w:val="auto"/>
          <w:sz w:val="24"/>
          <w:szCs w:val="24"/>
        </w:rPr>
        <w:t>to how courses within a given discipline can hinder progress in that same discipline.  For example, perhaps college algebra makes it difficult for students to progress in math</w:t>
      </w:r>
      <w:r w:rsidR="007A63C9" w:rsidRPr="002B710B">
        <w:rPr>
          <w:rFonts w:ascii="Times New Roman" w:eastAsia="Arial Unicode MS" w:hAnsi="Times New Roman" w:cs="Times New Roman"/>
          <w:color w:val="auto"/>
          <w:sz w:val="24"/>
          <w:szCs w:val="24"/>
        </w:rPr>
        <w:t xml:space="preserve">.  Other scholars have conducted work in this area and provided </w:t>
      </w:r>
      <w:r w:rsidR="00601185">
        <w:rPr>
          <w:rFonts w:ascii="Times New Roman" w:eastAsia="Arial Unicode MS" w:hAnsi="Times New Roman" w:cs="Times New Roman"/>
          <w:color w:val="auto"/>
          <w:sz w:val="24"/>
          <w:szCs w:val="24"/>
        </w:rPr>
        <w:t xml:space="preserve">a </w:t>
      </w:r>
      <w:r w:rsidR="007A63C9" w:rsidRPr="002B710B">
        <w:rPr>
          <w:rFonts w:ascii="Times New Roman" w:eastAsia="Arial Unicode MS" w:hAnsi="Times New Roman" w:cs="Times New Roman"/>
          <w:color w:val="auto"/>
          <w:sz w:val="24"/>
          <w:szCs w:val="24"/>
        </w:rPr>
        <w:t>robust descriptive work of where students depart the curriculum</w:t>
      </w:r>
      <w:r w:rsidRPr="002B710B">
        <w:rPr>
          <w:rFonts w:ascii="Times New Roman" w:eastAsia="Arial Unicode MS" w:hAnsi="Times New Roman" w:cs="Times New Roman"/>
          <w:color w:val="auto"/>
          <w:sz w:val="24"/>
          <w:szCs w:val="24"/>
        </w:rPr>
        <w:t xml:space="preserve"> (</w:t>
      </w:r>
      <w:r w:rsidR="007A63C9" w:rsidRPr="002B710B">
        <w:rPr>
          <w:rFonts w:ascii="Times New Roman" w:eastAsia="Arial Unicode MS" w:hAnsi="Times New Roman" w:cs="Times New Roman"/>
          <w:color w:val="auto"/>
          <w:sz w:val="24"/>
          <w:szCs w:val="24"/>
        </w:rPr>
        <w:t xml:space="preserve">e.g., </w:t>
      </w:r>
      <w:r w:rsidRPr="002B710B">
        <w:rPr>
          <w:rFonts w:ascii="Times New Roman" w:eastAsia="Arial Unicode MS" w:hAnsi="Times New Roman" w:cs="Times New Roman"/>
          <w:color w:val="auto"/>
          <w:sz w:val="24"/>
          <w:szCs w:val="24"/>
        </w:rPr>
        <w:t xml:space="preserve">Bahr et al., 2016).  </w:t>
      </w:r>
    </w:p>
    <w:p w14:paraId="56906F22" w14:textId="77777777" w:rsidR="00717E4E" w:rsidRPr="002B710B" w:rsidRDefault="001C7D7A" w:rsidP="00113507">
      <w:pPr>
        <w:widowControl w:val="0"/>
        <w:spacing w:after="0" w:line="480" w:lineRule="auto"/>
        <w:ind w:firstLine="720"/>
        <w:rPr>
          <w:rFonts w:ascii="Times New Roman" w:eastAsia="Arial Unicode MS" w:hAnsi="Times New Roman" w:cs="Times New Roman"/>
          <w:color w:val="auto"/>
          <w:sz w:val="24"/>
          <w:szCs w:val="24"/>
        </w:rPr>
      </w:pPr>
      <w:r w:rsidRPr="002B710B">
        <w:rPr>
          <w:rFonts w:ascii="Times New Roman" w:eastAsia="Arial Unicode MS" w:hAnsi="Times New Roman" w:cs="Times New Roman"/>
          <w:color w:val="auto"/>
          <w:sz w:val="24"/>
          <w:szCs w:val="24"/>
        </w:rPr>
        <w:t xml:space="preserve">Finally, this study is descriptive in </w:t>
      </w:r>
      <w:r w:rsidR="005F7821" w:rsidRPr="002B710B">
        <w:rPr>
          <w:rFonts w:ascii="Times New Roman" w:eastAsia="Arial Unicode MS" w:hAnsi="Times New Roman" w:cs="Times New Roman"/>
          <w:color w:val="auto"/>
          <w:sz w:val="24"/>
          <w:szCs w:val="24"/>
        </w:rPr>
        <w:t>nature, which</w:t>
      </w:r>
      <w:r w:rsidRPr="002B710B">
        <w:rPr>
          <w:rFonts w:ascii="Times New Roman" w:eastAsia="Arial Unicode MS" w:hAnsi="Times New Roman" w:cs="Times New Roman"/>
          <w:color w:val="auto"/>
          <w:sz w:val="24"/>
          <w:szCs w:val="24"/>
        </w:rPr>
        <w:t xml:space="preserve"> </w:t>
      </w:r>
      <w:r w:rsidR="00293B31">
        <w:rPr>
          <w:rFonts w:ascii="Times New Roman" w:eastAsia="Arial Unicode MS" w:hAnsi="Times New Roman" w:cs="Times New Roman"/>
          <w:color w:val="auto"/>
          <w:sz w:val="24"/>
          <w:szCs w:val="24"/>
        </w:rPr>
        <w:t xml:space="preserve">precludes causal </w:t>
      </w:r>
      <w:r w:rsidRPr="002B710B">
        <w:rPr>
          <w:rFonts w:ascii="Times New Roman" w:eastAsia="Arial Unicode MS" w:hAnsi="Times New Roman" w:cs="Times New Roman"/>
          <w:color w:val="auto"/>
          <w:sz w:val="24"/>
          <w:szCs w:val="24"/>
        </w:rPr>
        <w:t xml:space="preserve">claims </w:t>
      </w:r>
      <w:r w:rsidR="00293B31">
        <w:rPr>
          <w:rFonts w:ascii="Times New Roman" w:eastAsia="Arial Unicode MS" w:hAnsi="Times New Roman" w:cs="Times New Roman"/>
          <w:color w:val="auto"/>
          <w:sz w:val="24"/>
          <w:szCs w:val="24"/>
        </w:rPr>
        <w:t xml:space="preserve">regarding </w:t>
      </w:r>
      <w:r w:rsidR="005F7821">
        <w:rPr>
          <w:rFonts w:ascii="Times New Roman" w:eastAsia="Arial Unicode MS" w:hAnsi="Times New Roman" w:cs="Times New Roman"/>
          <w:color w:val="auto"/>
          <w:sz w:val="24"/>
          <w:szCs w:val="24"/>
        </w:rPr>
        <w:t>how students’ course taking decisions impact their course outcomes</w:t>
      </w:r>
      <w:r w:rsidRPr="002B710B">
        <w:rPr>
          <w:rFonts w:ascii="Times New Roman" w:eastAsia="Arial Unicode MS" w:hAnsi="Times New Roman" w:cs="Times New Roman"/>
          <w:color w:val="auto"/>
          <w:sz w:val="24"/>
          <w:szCs w:val="24"/>
        </w:rPr>
        <w:t xml:space="preserve">. </w:t>
      </w:r>
      <w:r w:rsidR="008B28DA">
        <w:rPr>
          <w:rFonts w:ascii="Times New Roman" w:eastAsia="Arial Unicode MS" w:hAnsi="Times New Roman" w:cs="Times New Roman"/>
          <w:color w:val="auto"/>
          <w:sz w:val="24"/>
          <w:szCs w:val="24"/>
        </w:rPr>
        <w:t xml:space="preserve">Yet, exploratory work, such as this study, is needed to </w:t>
      </w:r>
      <w:r w:rsidRPr="002B710B">
        <w:rPr>
          <w:rFonts w:ascii="Times New Roman" w:eastAsia="Arial Unicode MS" w:hAnsi="Times New Roman" w:cs="Times New Roman"/>
          <w:color w:val="auto"/>
          <w:sz w:val="24"/>
          <w:szCs w:val="24"/>
        </w:rPr>
        <w:t xml:space="preserve">provide </w:t>
      </w:r>
      <w:r w:rsidR="008B28DA">
        <w:rPr>
          <w:rFonts w:ascii="Times New Roman" w:eastAsia="Arial Unicode MS" w:hAnsi="Times New Roman" w:cs="Times New Roman"/>
          <w:color w:val="auto"/>
          <w:sz w:val="24"/>
          <w:szCs w:val="24"/>
        </w:rPr>
        <w:t xml:space="preserve">a </w:t>
      </w:r>
      <w:r w:rsidRPr="002B710B">
        <w:rPr>
          <w:rFonts w:ascii="Times New Roman" w:eastAsia="Arial Unicode MS" w:hAnsi="Times New Roman" w:cs="Times New Roman"/>
          <w:color w:val="auto"/>
          <w:sz w:val="24"/>
          <w:szCs w:val="24"/>
        </w:rPr>
        <w:t xml:space="preserve">foundation for future work </w:t>
      </w:r>
      <w:r w:rsidR="008B28DA">
        <w:rPr>
          <w:rFonts w:ascii="Times New Roman" w:eastAsia="Arial Unicode MS" w:hAnsi="Times New Roman" w:cs="Times New Roman"/>
          <w:color w:val="auto"/>
          <w:sz w:val="24"/>
          <w:szCs w:val="24"/>
        </w:rPr>
        <w:t>on student participation and progress in STEM that is sensitivity to the interdisciplinary nature of most STEM programs of study</w:t>
      </w:r>
      <w:r w:rsidRPr="002B710B">
        <w:rPr>
          <w:rFonts w:ascii="Times New Roman" w:eastAsia="Arial Unicode MS" w:hAnsi="Times New Roman" w:cs="Times New Roman"/>
          <w:color w:val="auto"/>
          <w:sz w:val="24"/>
          <w:szCs w:val="24"/>
        </w:rPr>
        <w:t xml:space="preserve">.  </w:t>
      </w:r>
    </w:p>
    <w:p w14:paraId="7E045872" w14:textId="77777777" w:rsidR="007E6AD5" w:rsidRPr="002B710B" w:rsidRDefault="007E6AD5" w:rsidP="00113507">
      <w:pPr>
        <w:widowControl w:val="0"/>
        <w:spacing w:after="0" w:line="480" w:lineRule="auto"/>
        <w:ind w:firstLine="720"/>
        <w:jc w:val="center"/>
        <w:rPr>
          <w:rFonts w:ascii="Times New Roman" w:hAnsi="Times New Roman" w:cs="Times New Roman"/>
          <w:b/>
          <w:color w:val="auto"/>
          <w:sz w:val="24"/>
          <w:szCs w:val="24"/>
          <w:shd w:val="clear" w:color="auto" w:fill="FFFFFF"/>
        </w:rPr>
      </w:pPr>
      <w:r w:rsidRPr="002B710B">
        <w:rPr>
          <w:rFonts w:ascii="Times New Roman" w:hAnsi="Times New Roman" w:cs="Times New Roman"/>
          <w:b/>
          <w:color w:val="auto"/>
          <w:sz w:val="24"/>
          <w:szCs w:val="24"/>
          <w:shd w:val="clear" w:color="auto" w:fill="FFFFFF"/>
        </w:rPr>
        <w:t>ANALYSIS</w:t>
      </w:r>
    </w:p>
    <w:p w14:paraId="07C1F93D" w14:textId="77777777" w:rsidR="00724526" w:rsidRDefault="00B458BA">
      <w:pPr>
        <w:spacing w:after="0" w:line="480" w:lineRule="auto"/>
        <w:rPr>
          <w:rFonts w:ascii="Times New Roman" w:eastAsia="Arial Unicode MS" w:hAnsi="Times New Roman" w:cs="Times New Roman"/>
          <w:b/>
          <w:color w:val="auto"/>
          <w:sz w:val="24"/>
          <w:szCs w:val="24"/>
        </w:rPr>
      </w:pPr>
      <w:r w:rsidRPr="002B710B">
        <w:rPr>
          <w:rFonts w:ascii="Times New Roman" w:eastAsia="Arial Unicode MS" w:hAnsi="Times New Roman" w:cs="Times New Roman"/>
          <w:b/>
          <w:color w:val="auto"/>
          <w:sz w:val="24"/>
          <w:szCs w:val="24"/>
        </w:rPr>
        <w:t>Descriptive Analysis</w:t>
      </w:r>
    </w:p>
    <w:p w14:paraId="37835B53" w14:textId="642114A2" w:rsidR="00724526" w:rsidRDefault="00B458BA">
      <w:pPr>
        <w:spacing w:after="0" w:line="480" w:lineRule="auto"/>
        <w:ind w:firstLine="720"/>
        <w:rPr>
          <w:rFonts w:ascii="Times New Roman" w:eastAsia="Arial Unicode MS" w:hAnsi="Times New Roman" w:cs="Times New Roman"/>
          <w:color w:val="auto"/>
          <w:sz w:val="24"/>
          <w:szCs w:val="24"/>
        </w:rPr>
      </w:pPr>
      <w:r w:rsidRPr="002B710B">
        <w:rPr>
          <w:rFonts w:ascii="Times New Roman" w:eastAsia="Arial Unicode MS" w:hAnsi="Times New Roman" w:cs="Times New Roman"/>
          <w:color w:val="auto"/>
          <w:sz w:val="24"/>
          <w:szCs w:val="24"/>
        </w:rPr>
        <w:t xml:space="preserve">Table 1 presents the frequency distributions </w:t>
      </w:r>
      <w:r w:rsidR="00606EF6" w:rsidRPr="002B710B">
        <w:rPr>
          <w:rFonts w:ascii="Times New Roman" w:eastAsia="Arial Unicode MS" w:hAnsi="Times New Roman" w:cs="Times New Roman"/>
          <w:color w:val="auto"/>
          <w:sz w:val="24"/>
          <w:szCs w:val="24"/>
        </w:rPr>
        <w:t xml:space="preserve">of </w:t>
      </w:r>
      <w:r w:rsidRPr="002B710B">
        <w:rPr>
          <w:rFonts w:ascii="Times New Roman" w:eastAsia="Arial Unicode MS" w:hAnsi="Times New Roman" w:cs="Times New Roman"/>
          <w:color w:val="auto"/>
          <w:sz w:val="24"/>
          <w:szCs w:val="24"/>
        </w:rPr>
        <w:t xml:space="preserve">selected characteristics of (1) all first-time college students in our sample, (2) students </w:t>
      </w:r>
      <w:r w:rsidR="0080674D">
        <w:rPr>
          <w:rFonts w:ascii="Times New Roman" w:eastAsia="Arial Unicode MS" w:hAnsi="Times New Roman" w:cs="Times New Roman"/>
          <w:color w:val="auto"/>
          <w:sz w:val="24"/>
          <w:szCs w:val="24"/>
        </w:rPr>
        <w:t>enrolled in</w:t>
      </w:r>
      <w:r w:rsidRPr="002B710B">
        <w:rPr>
          <w:rFonts w:ascii="Times New Roman" w:eastAsia="Arial Unicode MS" w:hAnsi="Times New Roman" w:cs="Times New Roman"/>
          <w:color w:val="auto"/>
          <w:sz w:val="24"/>
          <w:szCs w:val="24"/>
        </w:rPr>
        <w:t xml:space="preserve"> at least one </w:t>
      </w:r>
      <w:r w:rsidR="005F7821">
        <w:rPr>
          <w:rFonts w:ascii="Times New Roman" w:eastAsia="Arial Unicode MS" w:hAnsi="Times New Roman" w:cs="Times New Roman"/>
          <w:color w:val="auto"/>
          <w:sz w:val="24"/>
          <w:szCs w:val="24"/>
        </w:rPr>
        <w:t>college-level</w:t>
      </w:r>
      <w:r w:rsidRPr="002B710B">
        <w:rPr>
          <w:rFonts w:ascii="Times New Roman" w:eastAsia="Arial Unicode MS" w:hAnsi="Times New Roman" w:cs="Times New Roman"/>
          <w:color w:val="auto"/>
          <w:sz w:val="24"/>
          <w:szCs w:val="24"/>
        </w:rPr>
        <w:t xml:space="preserve"> STEM course, (3) students who </w:t>
      </w:r>
      <w:r w:rsidR="0080674D">
        <w:rPr>
          <w:rFonts w:ascii="Times New Roman" w:eastAsia="Arial Unicode MS" w:hAnsi="Times New Roman" w:cs="Times New Roman"/>
          <w:color w:val="auto"/>
          <w:sz w:val="24"/>
          <w:szCs w:val="24"/>
        </w:rPr>
        <w:t xml:space="preserve">enrolled in </w:t>
      </w:r>
      <w:r w:rsidRPr="002B710B">
        <w:rPr>
          <w:rFonts w:ascii="Times New Roman" w:eastAsia="Arial Unicode MS" w:hAnsi="Times New Roman" w:cs="Times New Roman"/>
          <w:color w:val="auto"/>
          <w:sz w:val="24"/>
          <w:szCs w:val="24"/>
        </w:rPr>
        <w:t xml:space="preserve">courses in only one of the six STEM disciplines, and (4) students </w:t>
      </w:r>
      <w:r w:rsidRPr="002B710B">
        <w:rPr>
          <w:rFonts w:ascii="Times New Roman" w:eastAsia="Arial Unicode MS" w:hAnsi="Times New Roman" w:cs="Times New Roman"/>
          <w:color w:val="auto"/>
          <w:sz w:val="24"/>
          <w:szCs w:val="24"/>
        </w:rPr>
        <w:lastRenderedPageBreak/>
        <w:t xml:space="preserve">who </w:t>
      </w:r>
      <w:r w:rsidR="00606EF6" w:rsidRPr="002B710B">
        <w:rPr>
          <w:rFonts w:ascii="Times New Roman" w:eastAsia="Arial Unicode MS" w:hAnsi="Times New Roman" w:cs="Times New Roman"/>
          <w:color w:val="auto"/>
          <w:sz w:val="24"/>
          <w:szCs w:val="24"/>
        </w:rPr>
        <w:t xml:space="preserve">engaged in interdisciplinary </w:t>
      </w:r>
      <w:r w:rsidR="0019553D" w:rsidRPr="002B710B">
        <w:rPr>
          <w:rFonts w:ascii="Times New Roman" w:eastAsia="Arial Unicode MS" w:hAnsi="Times New Roman" w:cs="Times New Roman"/>
          <w:color w:val="auto"/>
          <w:sz w:val="24"/>
          <w:szCs w:val="24"/>
        </w:rPr>
        <w:t>course-taking</w:t>
      </w:r>
      <w:r w:rsidR="00606EF6" w:rsidRPr="002B710B">
        <w:rPr>
          <w:rFonts w:ascii="Times New Roman" w:eastAsia="Arial Unicode MS" w:hAnsi="Times New Roman" w:cs="Times New Roman"/>
          <w:color w:val="auto"/>
          <w:sz w:val="24"/>
          <w:szCs w:val="24"/>
        </w:rPr>
        <w:t xml:space="preserve"> in</w:t>
      </w:r>
      <w:r w:rsidRPr="002B710B">
        <w:rPr>
          <w:rFonts w:ascii="Times New Roman" w:eastAsia="Arial Unicode MS" w:hAnsi="Times New Roman" w:cs="Times New Roman"/>
          <w:color w:val="auto"/>
          <w:sz w:val="24"/>
          <w:szCs w:val="24"/>
        </w:rPr>
        <w:t xml:space="preserve"> select STEM fields (e.g., math and physics; biology and chemistry; math and computer science). </w:t>
      </w:r>
      <w:r w:rsidR="00656CC0">
        <w:rPr>
          <w:rFonts w:ascii="Times New Roman" w:eastAsia="Arial Unicode MS" w:hAnsi="Times New Roman" w:cs="Times New Roman"/>
          <w:color w:val="auto"/>
          <w:sz w:val="24"/>
          <w:szCs w:val="24"/>
        </w:rPr>
        <w:t xml:space="preserve">This table provides baseline information of interdisciplinary course-taking by students.  For example, </w:t>
      </w:r>
      <w:r w:rsidRPr="002B710B">
        <w:rPr>
          <w:rFonts w:ascii="Times New Roman" w:eastAsia="Arial Unicode MS" w:hAnsi="Times New Roman" w:cs="Times New Roman"/>
          <w:color w:val="auto"/>
          <w:sz w:val="24"/>
          <w:szCs w:val="24"/>
        </w:rPr>
        <w:t xml:space="preserve">of the 1,003,987 students who took a </w:t>
      </w:r>
      <w:r w:rsidR="005F7821">
        <w:rPr>
          <w:rFonts w:ascii="Times New Roman" w:eastAsia="Arial Unicode MS" w:hAnsi="Times New Roman" w:cs="Times New Roman"/>
          <w:color w:val="auto"/>
          <w:sz w:val="24"/>
          <w:szCs w:val="24"/>
        </w:rPr>
        <w:t>college-level</w:t>
      </w:r>
      <w:r w:rsidRPr="002B710B">
        <w:rPr>
          <w:rFonts w:ascii="Times New Roman" w:eastAsia="Arial Unicode MS" w:hAnsi="Times New Roman" w:cs="Times New Roman"/>
          <w:color w:val="auto"/>
          <w:sz w:val="24"/>
          <w:szCs w:val="24"/>
        </w:rPr>
        <w:t xml:space="preserve"> STEM course, </w:t>
      </w:r>
      <w:r w:rsidR="00656CC0">
        <w:rPr>
          <w:rFonts w:ascii="Times New Roman" w:eastAsia="Arial Unicode MS" w:hAnsi="Times New Roman" w:cs="Times New Roman"/>
          <w:color w:val="auto"/>
          <w:sz w:val="24"/>
          <w:szCs w:val="24"/>
        </w:rPr>
        <w:t>a little under</w:t>
      </w:r>
      <w:r w:rsidRPr="002B710B">
        <w:rPr>
          <w:rFonts w:ascii="Times New Roman" w:eastAsia="Arial Unicode MS" w:hAnsi="Times New Roman" w:cs="Times New Roman"/>
          <w:color w:val="auto"/>
          <w:sz w:val="24"/>
          <w:szCs w:val="24"/>
        </w:rPr>
        <w:t xml:space="preserve"> half (</w:t>
      </w:r>
      <w:r w:rsidR="00656CC0">
        <w:rPr>
          <w:rFonts w:ascii="Times New Roman" w:eastAsia="Arial Unicode MS" w:hAnsi="Times New Roman" w:cs="Times New Roman"/>
          <w:color w:val="auto"/>
          <w:sz w:val="24"/>
          <w:szCs w:val="24"/>
        </w:rPr>
        <w:t>46.7</w:t>
      </w:r>
      <w:r w:rsidRPr="002B710B">
        <w:rPr>
          <w:rFonts w:ascii="Times New Roman" w:eastAsia="Arial Unicode MS" w:hAnsi="Times New Roman" w:cs="Times New Roman"/>
          <w:color w:val="auto"/>
          <w:sz w:val="24"/>
          <w:szCs w:val="24"/>
        </w:rPr>
        <w:t xml:space="preserve">%) took STEM courses in </w:t>
      </w:r>
      <w:r w:rsidR="007F4D0D">
        <w:rPr>
          <w:rFonts w:ascii="Times New Roman" w:eastAsia="Arial Unicode MS" w:hAnsi="Times New Roman" w:cs="Times New Roman"/>
          <w:color w:val="auto"/>
          <w:sz w:val="24"/>
          <w:szCs w:val="24"/>
        </w:rPr>
        <w:t xml:space="preserve">only </w:t>
      </w:r>
      <w:r w:rsidRPr="002B710B">
        <w:rPr>
          <w:rFonts w:ascii="Times New Roman" w:eastAsia="Arial Unicode MS" w:hAnsi="Times New Roman" w:cs="Times New Roman"/>
          <w:color w:val="auto"/>
          <w:sz w:val="24"/>
          <w:szCs w:val="24"/>
        </w:rPr>
        <w:t>on</w:t>
      </w:r>
      <w:r w:rsidR="00606EF6" w:rsidRPr="002B710B">
        <w:rPr>
          <w:rFonts w:ascii="Times New Roman" w:eastAsia="Arial Unicode MS" w:hAnsi="Times New Roman" w:cs="Times New Roman"/>
          <w:color w:val="auto"/>
          <w:sz w:val="24"/>
          <w:szCs w:val="24"/>
        </w:rPr>
        <w:t>e</w:t>
      </w:r>
      <w:r w:rsidRPr="002B710B">
        <w:rPr>
          <w:rFonts w:ascii="Times New Roman" w:eastAsia="Arial Unicode MS" w:hAnsi="Times New Roman" w:cs="Times New Roman"/>
          <w:color w:val="auto"/>
          <w:sz w:val="24"/>
          <w:szCs w:val="24"/>
        </w:rPr>
        <w:t xml:space="preserve"> STEM discipline</w:t>
      </w:r>
      <w:r w:rsidR="00A17E75" w:rsidRPr="002B710B">
        <w:rPr>
          <w:rFonts w:ascii="Times New Roman" w:eastAsia="Arial Unicode MS" w:hAnsi="Times New Roman" w:cs="Times New Roman"/>
          <w:color w:val="auto"/>
          <w:sz w:val="24"/>
          <w:szCs w:val="24"/>
        </w:rPr>
        <w:t>,</w:t>
      </w:r>
      <w:r w:rsidRPr="002B710B">
        <w:rPr>
          <w:rFonts w:ascii="Times New Roman" w:eastAsia="Arial Unicode MS" w:hAnsi="Times New Roman" w:cs="Times New Roman"/>
          <w:color w:val="auto"/>
          <w:sz w:val="24"/>
          <w:szCs w:val="24"/>
        </w:rPr>
        <w:t xml:space="preserve"> which </w:t>
      </w:r>
      <w:r w:rsidR="007F4D0D">
        <w:rPr>
          <w:rFonts w:ascii="Times New Roman" w:eastAsia="Arial Unicode MS" w:hAnsi="Times New Roman" w:cs="Times New Roman"/>
          <w:color w:val="auto"/>
          <w:sz w:val="24"/>
          <w:szCs w:val="24"/>
        </w:rPr>
        <w:t>greatly</w:t>
      </w:r>
      <w:r w:rsidR="007F4D0D" w:rsidRPr="002B710B">
        <w:rPr>
          <w:rFonts w:ascii="Times New Roman" w:eastAsia="Arial Unicode MS" w:hAnsi="Times New Roman" w:cs="Times New Roman"/>
          <w:color w:val="auto"/>
          <w:sz w:val="24"/>
          <w:szCs w:val="24"/>
        </w:rPr>
        <w:t xml:space="preserve"> </w:t>
      </w:r>
      <w:r w:rsidRPr="002B710B">
        <w:rPr>
          <w:rFonts w:ascii="Times New Roman" w:eastAsia="Arial Unicode MS" w:hAnsi="Times New Roman" w:cs="Times New Roman"/>
          <w:color w:val="auto"/>
          <w:sz w:val="24"/>
          <w:szCs w:val="24"/>
        </w:rPr>
        <w:t>limit</w:t>
      </w:r>
      <w:r w:rsidR="007F4D0D">
        <w:rPr>
          <w:rFonts w:ascii="Times New Roman" w:eastAsia="Arial Unicode MS" w:hAnsi="Times New Roman" w:cs="Times New Roman"/>
          <w:color w:val="auto"/>
          <w:sz w:val="24"/>
          <w:szCs w:val="24"/>
        </w:rPr>
        <w:t>s</w:t>
      </w:r>
      <w:r w:rsidRPr="002B710B">
        <w:rPr>
          <w:rFonts w:ascii="Times New Roman" w:eastAsia="Arial Unicode MS" w:hAnsi="Times New Roman" w:cs="Times New Roman"/>
          <w:color w:val="auto"/>
          <w:sz w:val="24"/>
          <w:szCs w:val="24"/>
        </w:rPr>
        <w:t xml:space="preserve"> their ability to </w:t>
      </w:r>
      <w:r w:rsidR="00606EF6" w:rsidRPr="002B710B">
        <w:rPr>
          <w:rFonts w:ascii="Times New Roman" w:eastAsia="Arial Unicode MS" w:hAnsi="Times New Roman" w:cs="Times New Roman"/>
          <w:color w:val="auto"/>
          <w:sz w:val="24"/>
          <w:szCs w:val="24"/>
        </w:rPr>
        <w:t>progress in</w:t>
      </w:r>
      <w:r w:rsidRPr="002B710B">
        <w:rPr>
          <w:rFonts w:ascii="Times New Roman" w:eastAsia="Arial Unicode MS" w:hAnsi="Times New Roman" w:cs="Times New Roman"/>
          <w:color w:val="auto"/>
          <w:sz w:val="24"/>
          <w:szCs w:val="24"/>
        </w:rPr>
        <w:t xml:space="preserve"> </w:t>
      </w:r>
      <w:r w:rsidR="007F4D0D">
        <w:rPr>
          <w:rFonts w:ascii="Times New Roman" w:eastAsia="Arial Unicode MS" w:hAnsi="Times New Roman" w:cs="Times New Roman"/>
          <w:color w:val="auto"/>
          <w:sz w:val="24"/>
          <w:szCs w:val="24"/>
        </w:rPr>
        <w:t>nearly all</w:t>
      </w:r>
      <w:r w:rsidR="00A17E75" w:rsidRPr="002B710B">
        <w:rPr>
          <w:rFonts w:ascii="Times New Roman" w:eastAsia="Arial Unicode MS" w:hAnsi="Times New Roman" w:cs="Times New Roman"/>
          <w:color w:val="auto"/>
          <w:sz w:val="24"/>
          <w:szCs w:val="24"/>
        </w:rPr>
        <w:t xml:space="preserve"> </w:t>
      </w:r>
      <w:r w:rsidRPr="002B710B">
        <w:rPr>
          <w:rFonts w:ascii="Times New Roman" w:eastAsia="Arial Unicode MS" w:hAnsi="Times New Roman" w:cs="Times New Roman"/>
          <w:color w:val="auto"/>
          <w:sz w:val="24"/>
          <w:szCs w:val="24"/>
        </w:rPr>
        <w:t xml:space="preserve">STEM disciplines. </w:t>
      </w:r>
      <w:r w:rsidR="00606EF6" w:rsidRPr="002B710B">
        <w:rPr>
          <w:rFonts w:ascii="Times New Roman" w:eastAsia="Arial Unicode MS" w:hAnsi="Times New Roman" w:cs="Times New Roman"/>
          <w:color w:val="auto"/>
          <w:sz w:val="24"/>
          <w:szCs w:val="24"/>
        </w:rPr>
        <w:t xml:space="preserve"> </w:t>
      </w:r>
    </w:p>
    <w:p w14:paraId="4553418A" w14:textId="77777777" w:rsidR="00724526" w:rsidRDefault="00702EB4">
      <w:pPr>
        <w:spacing w:after="0" w:line="480" w:lineRule="auto"/>
        <w:jc w:val="center"/>
        <w:rPr>
          <w:rFonts w:ascii="Times New Roman" w:eastAsia="Arial Unicode MS" w:hAnsi="Times New Roman" w:cs="Times New Roman"/>
          <w:color w:val="auto"/>
          <w:sz w:val="24"/>
          <w:szCs w:val="24"/>
        </w:rPr>
      </w:pPr>
      <w:r>
        <w:rPr>
          <w:rFonts w:ascii="Times New Roman" w:eastAsia="Arial Unicode MS" w:hAnsi="Times New Roman" w:cs="Times New Roman"/>
          <w:color w:val="auto"/>
          <w:sz w:val="24"/>
          <w:szCs w:val="24"/>
        </w:rPr>
        <w:t>[</w:t>
      </w:r>
      <w:r w:rsidR="00347795" w:rsidRPr="002B710B">
        <w:rPr>
          <w:rFonts w:ascii="Times New Roman" w:eastAsia="Arial Unicode MS" w:hAnsi="Times New Roman" w:cs="Times New Roman"/>
          <w:color w:val="auto"/>
          <w:sz w:val="24"/>
          <w:szCs w:val="24"/>
        </w:rPr>
        <w:t>Insert Table 1 about here</w:t>
      </w:r>
      <w:r>
        <w:rPr>
          <w:rFonts w:ascii="Times New Roman" w:eastAsia="Arial Unicode MS" w:hAnsi="Times New Roman" w:cs="Times New Roman"/>
          <w:color w:val="auto"/>
          <w:sz w:val="24"/>
          <w:szCs w:val="24"/>
        </w:rPr>
        <w:t>]</w:t>
      </w:r>
    </w:p>
    <w:p w14:paraId="2606226D" w14:textId="5F1216BD" w:rsidR="00724526" w:rsidRDefault="00656CC0">
      <w:pPr>
        <w:spacing w:after="0" w:line="480" w:lineRule="auto"/>
        <w:ind w:firstLine="720"/>
        <w:rPr>
          <w:rFonts w:ascii="Times New Roman" w:eastAsia="Arial Unicode MS" w:hAnsi="Times New Roman" w:cs="Times New Roman"/>
          <w:color w:val="auto"/>
          <w:sz w:val="24"/>
          <w:szCs w:val="24"/>
        </w:rPr>
      </w:pPr>
      <w:r>
        <w:rPr>
          <w:rFonts w:ascii="Times New Roman" w:eastAsia="Arial Unicode MS" w:hAnsi="Times New Roman" w:cs="Times New Roman"/>
          <w:color w:val="auto"/>
          <w:sz w:val="24"/>
          <w:szCs w:val="24"/>
        </w:rPr>
        <w:t>Further, there are noteworthy</w:t>
      </w:r>
      <w:r w:rsidR="00606EF6" w:rsidRPr="002B710B">
        <w:rPr>
          <w:rFonts w:ascii="Times New Roman" w:eastAsia="Arial Unicode MS" w:hAnsi="Times New Roman" w:cs="Times New Roman"/>
          <w:color w:val="auto"/>
          <w:sz w:val="24"/>
          <w:szCs w:val="24"/>
        </w:rPr>
        <w:t xml:space="preserve"> differences in course-taking by sex and race</w:t>
      </w:r>
      <w:r w:rsidR="007F4D0D">
        <w:rPr>
          <w:rFonts w:ascii="Times New Roman" w:eastAsia="Arial Unicode MS" w:hAnsi="Times New Roman" w:cs="Times New Roman"/>
          <w:color w:val="auto"/>
          <w:sz w:val="24"/>
          <w:szCs w:val="24"/>
        </w:rPr>
        <w:t>/ethnicity</w:t>
      </w:r>
      <w:r w:rsidR="00606EF6" w:rsidRPr="002B710B">
        <w:rPr>
          <w:rFonts w:ascii="Times New Roman" w:eastAsia="Arial Unicode MS" w:hAnsi="Times New Roman" w:cs="Times New Roman"/>
          <w:color w:val="auto"/>
          <w:sz w:val="24"/>
          <w:szCs w:val="24"/>
        </w:rPr>
        <w:t>.  Specifically,</w:t>
      </w:r>
      <w:r w:rsidR="00B458BA" w:rsidRPr="002B710B">
        <w:rPr>
          <w:rFonts w:ascii="Times New Roman" w:eastAsia="Arial Unicode MS" w:hAnsi="Times New Roman" w:cs="Times New Roman"/>
          <w:color w:val="auto"/>
          <w:sz w:val="24"/>
          <w:szCs w:val="24"/>
        </w:rPr>
        <w:t xml:space="preserve"> there are slightly more females among all full</w:t>
      </w:r>
      <w:r w:rsidR="00347795" w:rsidRPr="002B710B">
        <w:rPr>
          <w:rFonts w:ascii="Times New Roman" w:eastAsia="Arial Unicode MS" w:hAnsi="Times New Roman" w:cs="Times New Roman"/>
          <w:color w:val="auto"/>
          <w:sz w:val="24"/>
          <w:szCs w:val="24"/>
        </w:rPr>
        <w:t>-</w:t>
      </w:r>
      <w:r w:rsidR="00B458BA" w:rsidRPr="002B710B">
        <w:rPr>
          <w:rFonts w:ascii="Times New Roman" w:eastAsia="Arial Unicode MS" w:hAnsi="Times New Roman" w:cs="Times New Roman"/>
          <w:color w:val="auto"/>
          <w:sz w:val="24"/>
          <w:szCs w:val="24"/>
        </w:rPr>
        <w:t xml:space="preserve">time students (51% female) and among students who take at least one </w:t>
      </w:r>
      <w:r w:rsidR="005F7821">
        <w:rPr>
          <w:rFonts w:ascii="Times New Roman" w:eastAsia="Arial Unicode MS" w:hAnsi="Times New Roman" w:cs="Times New Roman"/>
          <w:color w:val="auto"/>
          <w:sz w:val="24"/>
          <w:szCs w:val="24"/>
        </w:rPr>
        <w:t>college-level</w:t>
      </w:r>
      <w:r w:rsidR="00B458BA" w:rsidRPr="002B710B">
        <w:rPr>
          <w:rFonts w:ascii="Times New Roman" w:eastAsia="Arial Unicode MS" w:hAnsi="Times New Roman" w:cs="Times New Roman"/>
          <w:color w:val="auto"/>
          <w:sz w:val="24"/>
          <w:szCs w:val="24"/>
        </w:rPr>
        <w:t xml:space="preserve"> STEM course (54% female). </w:t>
      </w:r>
      <w:r w:rsidR="007F4D0D">
        <w:rPr>
          <w:rFonts w:ascii="Times New Roman" w:eastAsia="Arial Unicode MS" w:hAnsi="Times New Roman" w:cs="Times New Roman"/>
          <w:color w:val="auto"/>
          <w:sz w:val="24"/>
          <w:szCs w:val="24"/>
        </w:rPr>
        <w:t>A</w:t>
      </w:r>
      <w:r w:rsidR="007F4D0D" w:rsidRPr="002B710B">
        <w:rPr>
          <w:rFonts w:ascii="Times New Roman" w:eastAsia="Arial Unicode MS" w:hAnsi="Times New Roman" w:cs="Times New Roman"/>
          <w:color w:val="auto"/>
          <w:sz w:val="24"/>
          <w:szCs w:val="24"/>
        </w:rPr>
        <w:t xml:space="preserve">mong </w:t>
      </w:r>
      <w:r w:rsidR="00B458BA" w:rsidRPr="002B710B">
        <w:rPr>
          <w:rFonts w:ascii="Times New Roman" w:eastAsia="Arial Unicode MS" w:hAnsi="Times New Roman" w:cs="Times New Roman"/>
          <w:color w:val="auto"/>
          <w:sz w:val="24"/>
          <w:szCs w:val="24"/>
        </w:rPr>
        <w:t>students who take college</w:t>
      </w:r>
      <w:r w:rsidR="005F7821">
        <w:rPr>
          <w:rFonts w:ascii="Times New Roman" w:eastAsia="Arial Unicode MS" w:hAnsi="Times New Roman" w:cs="Times New Roman"/>
          <w:color w:val="auto"/>
          <w:sz w:val="24"/>
          <w:szCs w:val="24"/>
        </w:rPr>
        <w:t>-</w:t>
      </w:r>
      <w:r w:rsidR="00B458BA" w:rsidRPr="002B710B">
        <w:rPr>
          <w:rFonts w:ascii="Times New Roman" w:eastAsia="Arial Unicode MS" w:hAnsi="Times New Roman" w:cs="Times New Roman"/>
          <w:color w:val="auto"/>
          <w:sz w:val="24"/>
          <w:szCs w:val="24"/>
        </w:rPr>
        <w:t xml:space="preserve">level courses in both biology and chemistry, </w:t>
      </w:r>
      <w:r w:rsidR="007F4D0D">
        <w:rPr>
          <w:rFonts w:ascii="Times New Roman" w:eastAsia="Arial Unicode MS" w:hAnsi="Times New Roman" w:cs="Times New Roman"/>
          <w:color w:val="auto"/>
          <w:sz w:val="24"/>
          <w:szCs w:val="24"/>
        </w:rPr>
        <w:t>how</w:t>
      </w:r>
      <w:r w:rsidR="005A271A">
        <w:rPr>
          <w:rFonts w:ascii="Times New Roman" w:eastAsia="Arial Unicode MS" w:hAnsi="Times New Roman" w:cs="Times New Roman"/>
          <w:color w:val="auto"/>
          <w:sz w:val="24"/>
          <w:szCs w:val="24"/>
        </w:rPr>
        <w:t>e</w:t>
      </w:r>
      <w:r w:rsidR="007F4D0D">
        <w:rPr>
          <w:rFonts w:ascii="Times New Roman" w:eastAsia="Arial Unicode MS" w:hAnsi="Times New Roman" w:cs="Times New Roman"/>
          <w:color w:val="auto"/>
          <w:sz w:val="24"/>
          <w:szCs w:val="24"/>
        </w:rPr>
        <w:t xml:space="preserve">ver, </w:t>
      </w:r>
      <w:r w:rsidR="00B458BA" w:rsidRPr="002B710B">
        <w:rPr>
          <w:rFonts w:ascii="Times New Roman" w:eastAsia="Arial Unicode MS" w:hAnsi="Times New Roman" w:cs="Times New Roman"/>
          <w:color w:val="auto"/>
          <w:sz w:val="24"/>
          <w:szCs w:val="24"/>
        </w:rPr>
        <w:t xml:space="preserve">we find that females are overrepresented (64% female), </w:t>
      </w:r>
      <w:r w:rsidR="007F4D0D">
        <w:rPr>
          <w:rFonts w:ascii="Times New Roman" w:eastAsia="Arial Unicode MS" w:hAnsi="Times New Roman" w:cs="Times New Roman"/>
          <w:color w:val="auto"/>
          <w:sz w:val="24"/>
          <w:szCs w:val="24"/>
        </w:rPr>
        <w:t xml:space="preserve">while </w:t>
      </w:r>
      <w:r w:rsidR="00B458BA" w:rsidRPr="002B710B">
        <w:rPr>
          <w:rFonts w:ascii="Times New Roman" w:eastAsia="Arial Unicode MS" w:hAnsi="Times New Roman" w:cs="Times New Roman"/>
          <w:color w:val="auto"/>
          <w:sz w:val="24"/>
          <w:szCs w:val="24"/>
        </w:rPr>
        <w:t xml:space="preserve">females are underrepresented among students who take courses in </w:t>
      </w:r>
      <w:r w:rsidR="007F4D0D">
        <w:rPr>
          <w:rFonts w:ascii="Times New Roman" w:eastAsia="Arial Unicode MS" w:hAnsi="Times New Roman" w:cs="Times New Roman"/>
          <w:color w:val="auto"/>
          <w:sz w:val="24"/>
          <w:szCs w:val="24"/>
        </w:rPr>
        <w:t xml:space="preserve">both </w:t>
      </w:r>
      <w:r w:rsidR="00B458BA" w:rsidRPr="002B710B">
        <w:rPr>
          <w:rFonts w:ascii="Times New Roman" w:eastAsia="Arial Unicode MS" w:hAnsi="Times New Roman" w:cs="Times New Roman"/>
          <w:color w:val="auto"/>
          <w:sz w:val="24"/>
          <w:szCs w:val="24"/>
        </w:rPr>
        <w:t>ma</w:t>
      </w:r>
      <w:r w:rsidR="00606EF6" w:rsidRPr="002B710B">
        <w:rPr>
          <w:rFonts w:ascii="Times New Roman" w:eastAsia="Arial Unicode MS" w:hAnsi="Times New Roman" w:cs="Times New Roman"/>
          <w:color w:val="auto"/>
          <w:sz w:val="24"/>
          <w:szCs w:val="24"/>
        </w:rPr>
        <w:t xml:space="preserve">th and physics (37% female).  Females are underrepresented to an even greater degree </w:t>
      </w:r>
      <w:r w:rsidR="00B458BA" w:rsidRPr="002B710B">
        <w:rPr>
          <w:rFonts w:ascii="Times New Roman" w:eastAsia="Arial Unicode MS" w:hAnsi="Times New Roman" w:cs="Times New Roman"/>
          <w:color w:val="auto"/>
          <w:sz w:val="24"/>
          <w:szCs w:val="24"/>
        </w:rPr>
        <w:t>among students who take college courses in</w:t>
      </w:r>
      <w:r w:rsidR="007F4D0D">
        <w:rPr>
          <w:rFonts w:ascii="Times New Roman" w:eastAsia="Arial Unicode MS" w:hAnsi="Times New Roman" w:cs="Times New Roman"/>
          <w:color w:val="auto"/>
          <w:sz w:val="24"/>
          <w:szCs w:val="24"/>
        </w:rPr>
        <w:t xml:space="preserve"> both</w:t>
      </w:r>
      <w:r w:rsidR="00B458BA" w:rsidRPr="002B710B">
        <w:rPr>
          <w:rFonts w:ascii="Times New Roman" w:eastAsia="Arial Unicode MS" w:hAnsi="Times New Roman" w:cs="Times New Roman"/>
          <w:color w:val="auto"/>
          <w:sz w:val="24"/>
          <w:szCs w:val="24"/>
        </w:rPr>
        <w:t xml:space="preserve"> computer science and math (28% female). </w:t>
      </w:r>
      <w:r w:rsidR="00D92BB3" w:rsidRPr="002B710B">
        <w:rPr>
          <w:rFonts w:ascii="Times New Roman" w:eastAsia="Arial Unicode MS" w:hAnsi="Times New Roman" w:cs="Times New Roman"/>
          <w:color w:val="auto"/>
          <w:sz w:val="24"/>
          <w:szCs w:val="24"/>
        </w:rPr>
        <w:t xml:space="preserve"> </w:t>
      </w:r>
      <w:r>
        <w:rPr>
          <w:rFonts w:ascii="Times New Roman" w:eastAsia="Arial Unicode MS" w:hAnsi="Times New Roman" w:cs="Times New Roman"/>
          <w:color w:val="auto"/>
          <w:sz w:val="24"/>
          <w:szCs w:val="24"/>
        </w:rPr>
        <w:t>Thus, it is apparent that women are engaging in interdisciplinary course-taking at higher rates than men, but their participation is focused in chemistry/ biology and not in the other two critical combinations.</w:t>
      </w:r>
    </w:p>
    <w:p w14:paraId="54637A86" w14:textId="123202B0" w:rsidR="00724526" w:rsidRDefault="007F4D0D">
      <w:pPr>
        <w:spacing w:after="0" w:line="480" w:lineRule="auto"/>
        <w:ind w:firstLine="720"/>
        <w:rPr>
          <w:rFonts w:ascii="Times New Roman" w:eastAsia="Arial Unicode MS" w:hAnsi="Times New Roman" w:cs="Times New Roman"/>
          <w:color w:val="auto"/>
          <w:sz w:val="24"/>
          <w:szCs w:val="24"/>
        </w:rPr>
      </w:pPr>
      <w:r>
        <w:rPr>
          <w:rFonts w:ascii="Times New Roman" w:eastAsia="Arial Unicode MS" w:hAnsi="Times New Roman" w:cs="Times New Roman"/>
          <w:color w:val="auto"/>
          <w:sz w:val="24"/>
          <w:szCs w:val="24"/>
        </w:rPr>
        <w:t>Furthermore</w:t>
      </w:r>
      <w:r w:rsidR="00D92BB3" w:rsidRPr="002B710B">
        <w:rPr>
          <w:rFonts w:ascii="Times New Roman" w:eastAsia="Arial Unicode MS" w:hAnsi="Times New Roman" w:cs="Times New Roman"/>
          <w:color w:val="auto"/>
          <w:sz w:val="24"/>
          <w:szCs w:val="24"/>
        </w:rPr>
        <w:t xml:space="preserve">, we find that </w:t>
      </w:r>
      <w:r>
        <w:rPr>
          <w:rFonts w:ascii="Times New Roman" w:eastAsia="Arial Unicode MS" w:hAnsi="Times New Roman" w:cs="Times New Roman"/>
          <w:color w:val="auto"/>
          <w:sz w:val="24"/>
          <w:szCs w:val="24"/>
        </w:rPr>
        <w:t xml:space="preserve">students of </w:t>
      </w:r>
      <w:r w:rsidR="003E2D41" w:rsidRPr="002B710B">
        <w:rPr>
          <w:rFonts w:ascii="Times New Roman" w:eastAsia="Arial Unicode MS" w:hAnsi="Times New Roman" w:cs="Times New Roman"/>
          <w:color w:val="auto"/>
          <w:sz w:val="24"/>
          <w:szCs w:val="24"/>
        </w:rPr>
        <w:t xml:space="preserve">historically disadvantaged </w:t>
      </w:r>
      <w:r>
        <w:rPr>
          <w:rFonts w:ascii="Times New Roman" w:eastAsia="Arial Unicode MS" w:hAnsi="Times New Roman" w:cs="Times New Roman"/>
          <w:color w:val="auto"/>
          <w:sz w:val="24"/>
          <w:szCs w:val="24"/>
        </w:rPr>
        <w:t xml:space="preserve">racial/ethnic groups </w:t>
      </w:r>
      <w:r w:rsidR="003E2D41" w:rsidRPr="002B710B">
        <w:rPr>
          <w:rFonts w:ascii="Times New Roman" w:eastAsia="Arial Unicode MS" w:hAnsi="Times New Roman" w:cs="Times New Roman"/>
          <w:color w:val="auto"/>
          <w:sz w:val="24"/>
          <w:szCs w:val="24"/>
        </w:rPr>
        <w:t xml:space="preserve">(i.e., black, Hispanic, and Native American) are slightly underrepresented among all STEM students </w:t>
      </w:r>
      <w:r w:rsidR="00656CC0">
        <w:rPr>
          <w:rFonts w:ascii="Times New Roman" w:eastAsia="Arial Unicode MS" w:hAnsi="Times New Roman" w:cs="Times New Roman"/>
          <w:color w:val="auto"/>
          <w:sz w:val="24"/>
          <w:szCs w:val="24"/>
        </w:rPr>
        <w:t>where they make up 37% of students compared to their representation of all students (43.9%).  In addition, t</w:t>
      </w:r>
      <w:r w:rsidR="003E2D41" w:rsidRPr="002B710B">
        <w:rPr>
          <w:rFonts w:ascii="Times New Roman" w:eastAsia="Arial Unicode MS" w:hAnsi="Times New Roman" w:cs="Times New Roman"/>
          <w:color w:val="auto"/>
          <w:sz w:val="24"/>
          <w:szCs w:val="24"/>
        </w:rPr>
        <w:t xml:space="preserve">hey are underrepresented in all three of </w:t>
      </w:r>
      <w:r w:rsidR="005A271A">
        <w:rPr>
          <w:rFonts w:ascii="Times New Roman" w:eastAsia="Arial Unicode MS" w:hAnsi="Times New Roman" w:cs="Times New Roman"/>
          <w:color w:val="auto"/>
          <w:sz w:val="24"/>
          <w:szCs w:val="24"/>
        </w:rPr>
        <w:t xml:space="preserve">the </w:t>
      </w:r>
      <w:r w:rsidR="003E2D41" w:rsidRPr="002B710B">
        <w:rPr>
          <w:rFonts w:ascii="Times New Roman" w:eastAsia="Arial Unicode MS" w:hAnsi="Times New Roman" w:cs="Times New Roman"/>
          <w:color w:val="auto"/>
          <w:sz w:val="24"/>
          <w:szCs w:val="24"/>
        </w:rPr>
        <w:t>interdisciplinary pairings</w:t>
      </w:r>
      <w:r w:rsidR="005A271A">
        <w:rPr>
          <w:rFonts w:ascii="Times New Roman" w:eastAsia="Arial Unicode MS" w:hAnsi="Times New Roman" w:cs="Times New Roman"/>
          <w:color w:val="auto"/>
          <w:sz w:val="24"/>
          <w:szCs w:val="24"/>
        </w:rPr>
        <w:t>,</w:t>
      </w:r>
      <w:r w:rsidR="003E2D41" w:rsidRPr="002B710B">
        <w:rPr>
          <w:rFonts w:ascii="Times New Roman" w:eastAsia="Arial Unicode MS" w:hAnsi="Times New Roman" w:cs="Times New Roman"/>
          <w:color w:val="auto"/>
          <w:sz w:val="24"/>
          <w:szCs w:val="24"/>
        </w:rPr>
        <w:t xml:space="preserve"> with only 25% engaging in interdisciplinary coursework math/physics and math/computer science, and 33% engaging in biology/chemistry.  </w:t>
      </w:r>
      <w:r w:rsidR="00656CC0">
        <w:rPr>
          <w:rFonts w:ascii="Times New Roman" w:eastAsia="Arial Unicode MS" w:hAnsi="Times New Roman" w:cs="Times New Roman"/>
          <w:color w:val="auto"/>
          <w:sz w:val="24"/>
          <w:szCs w:val="24"/>
        </w:rPr>
        <w:t xml:space="preserve">This demonstrates that for many of these students, they are </w:t>
      </w:r>
      <w:r w:rsidR="00656CC0">
        <w:rPr>
          <w:rFonts w:ascii="Times New Roman" w:eastAsia="Arial Unicode MS" w:hAnsi="Times New Roman" w:cs="Times New Roman"/>
          <w:color w:val="auto"/>
          <w:sz w:val="24"/>
          <w:szCs w:val="24"/>
        </w:rPr>
        <w:lastRenderedPageBreak/>
        <w:t xml:space="preserve">demonstrating a basic competency in STEM coursework, but are not engaging in the interdisciplinary coursework required to progress in STEM. </w:t>
      </w:r>
    </w:p>
    <w:p w14:paraId="07605919" w14:textId="239DD189" w:rsidR="00724526" w:rsidRDefault="003E2D41">
      <w:pPr>
        <w:spacing w:after="0" w:line="480" w:lineRule="auto"/>
        <w:ind w:firstLine="720"/>
        <w:rPr>
          <w:rFonts w:ascii="Times New Roman" w:eastAsia="Arial Unicode MS" w:hAnsi="Times New Roman" w:cs="Times New Roman"/>
          <w:color w:val="auto"/>
          <w:sz w:val="24"/>
          <w:szCs w:val="24"/>
        </w:rPr>
      </w:pPr>
      <w:r w:rsidRPr="002B710B">
        <w:rPr>
          <w:rFonts w:ascii="Times New Roman" w:eastAsia="Arial Unicode MS" w:hAnsi="Times New Roman" w:cs="Times New Roman"/>
          <w:color w:val="auto"/>
          <w:sz w:val="24"/>
          <w:szCs w:val="24"/>
        </w:rPr>
        <w:t xml:space="preserve">Also of note, we find that students not of U.S. citizenship are </w:t>
      </w:r>
      <w:r w:rsidR="00347795" w:rsidRPr="002B710B">
        <w:rPr>
          <w:rFonts w:ascii="Times New Roman" w:eastAsia="Arial Unicode MS" w:hAnsi="Times New Roman" w:cs="Times New Roman"/>
          <w:color w:val="auto"/>
          <w:sz w:val="24"/>
          <w:szCs w:val="24"/>
        </w:rPr>
        <w:t xml:space="preserve">highly </w:t>
      </w:r>
      <w:r w:rsidRPr="002B710B">
        <w:rPr>
          <w:rFonts w:ascii="Times New Roman" w:eastAsia="Arial Unicode MS" w:hAnsi="Times New Roman" w:cs="Times New Roman"/>
          <w:color w:val="auto"/>
          <w:sz w:val="24"/>
          <w:szCs w:val="24"/>
        </w:rPr>
        <w:t>overrepresented in all three interdisciplinary pairs.  Non-citizens make up only 14% of our sample</w:t>
      </w:r>
      <w:r w:rsidR="00347795" w:rsidRPr="002B710B">
        <w:rPr>
          <w:rFonts w:ascii="Times New Roman" w:eastAsia="Arial Unicode MS" w:hAnsi="Times New Roman" w:cs="Times New Roman"/>
          <w:color w:val="auto"/>
          <w:sz w:val="24"/>
          <w:szCs w:val="24"/>
        </w:rPr>
        <w:t>,</w:t>
      </w:r>
      <w:r w:rsidRPr="002B710B">
        <w:rPr>
          <w:rFonts w:ascii="Times New Roman" w:eastAsia="Arial Unicode MS" w:hAnsi="Times New Roman" w:cs="Times New Roman"/>
          <w:color w:val="auto"/>
          <w:sz w:val="24"/>
          <w:szCs w:val="24"/>
        </w:rPr>
        <w:t xml:space="preserve"> yet their representation is double that among students who take</w:t>
      </w:r>
      <w:r w:rsidR="005A271A">
        <w:rPr>
          <w:rFonts w:ascii="Times New Roman" w:eastAsia="Arial Unicode MS" w:hAnsi="Times New Roman" w:cs="Times New Roman"/>
          <w:color w:val="auto"/>
          <w:sz w:val="24"/>
          <w:szCs w:val="24"/>
        </w:rPr>
        <w:t xml:space="preserve"> both</w:t>
      </w:r>
      <w:r w:rsidRPr="002B710B">
        <w:rPr>
          <w:rFonts w:ascii="Times New Roman" w:eastAsia="Arial Unicode MS" w:hAnsi="Times New Roman" w:cs="Times New Roman"/>
          <w:color w:val="auto"/>
          <w:sz w:val="24"/>
          <w:szCs w:val="24"/>
        </w:rPr>
        <w:t xml:space="preserve"> math</w:t>
      </w:r>
      <w:r w:rsidR="005A271A">
        <w:rPr>
          <w:rFonts w:ascii="Times New Roman" w:eastAsia="Arial Unicode MS" w:hAnsi="Times New Roman" w:cs="Times New Roman"/>
          <w:color w:val="auto"/>
          <w:sz w:val="24"/>
          <w:szCs w:val="24"/>
        </w:rPr>
        <w:t xml:space="preserve"> and </w:t>
      </w:r>
      <w:r w:rsidRPr="002B710B">
        <w:rPr>
          <w:rFonts w:ascii="Times New Roman" w:eastAsia="Arial Unicode MS" w:hAnsi="Times New Roman" w:cs="Times New Roman"/>
          <w:color w:val="auto"/>
          <w:sz w:val="24"/>
          <w:szCs w:val="24"/>
        </w:rPr>
        <w:t>physics course</w:t>
      </w:r>
      <w:r w:rsidR="005A271A">
        <w:rPr>
          <w:rFonts w:ascii="Times New Roman" w:eastAsia="Arial Unicode MS" w:hAnsi="Times New Roman" w:cs="Times New Roman"/>
          <w:color w:val="auto"/>
          <w:sz w:val="24"/>
          <w:szCs w:val="24"/>
        </w:rPr>
        <w:t>work</w:t>
      </w:r>
      <w:r w:rsidRPr="002B710B">
        <w:rPr>
          <w:rFonts w:ascii="Times New Roman" w:eastAsia="Arial Unicode MS" w:hAnsi="Times New Roman" w:cs="Times New Roman"/>
          <w:color w:val="auto"/>
          <w:sz w:val="24"/>
          <w:szCs w:val="24"/>
        </w:rPr>
        <w:t xml:space="preserve"> (28%) and math</w:t>
      </w:r>
      <w:r w:rsidR="005A271A">
        <w:rPr>
          <w:rFonts w:ascii="Times New Roman" w:eastAsia="Arial Unicode MS" w:hAnsi="Times New Roman" w:cs="Times New Roman"/>
          <w:color w:val="auto"/>
          <w:sz w:val="24"/>
          <w:szCs w:val="24"/>
        </w:rPr>
        <w:t xml:space="preserve"> and </w:t>
      </w:r>
      <w:r w:rsidRPr="002B710B">
        <w:rPr>
          <w:rFonts w:ascii="Times New Roman" w:eastAsia="Arial Unicode MS" w:hAnsi="Times New Roman" w:cs="Times New Roman"/>
          <w:color w:val="auto"/>
          <w:sz w:val="24"/>
          <w:szCs w:val="24"/>
        </w:rPr>
        <w:t>computer sciences course</w:t>
      </w:r>
      <w:r w:rsidR="005A271A">
        <w:rPr>
          <w:rFonts w:ascii="Times New Roman" w:eastAsia="Arial Unicode MS" w:hAnsi="Times New Roman" w:cs="Times New Roman"/>
          <w:color w:val="auto"/>
          <w:sz w:val="24"/>
          <w:szCs w:val="24"/>
        </w:rPr>
        <w:t>work</w:t>
      </w:r>
      <w:r w:rsidRPr="002B710B">
        <w:rPr>
          <w:rFonts w:ascii="Times New Roman" w:eastAsia="Arial Unicode MS" w:hAnsi="Times New Roman" w:cs="Times New Roman"/>
          <w:color w:val="auto"/>
          <w:sz w:val="24"/>
          <w:szCs w:val="24"/>
        </w:rPr>
        <w:t xml:space="preserve"> (27%).   </w:t>
      </w:r>
    </w:p>
    <w:p w14:paraId="1646D592" w14:textId="77777777" w:rsidR="00724526" w:rsidRDefault="00E27549">
      <w:pPr>
        <w:spacing w:after="0" w:line="480" w:lineRule="auto"/>
        <w:rPr>
          <w:rFonts w:ascii="Times New Roman" w:eastAsia="Arial Unicode MS" w:hAnsi="Times New Roman" w:cs="Times New Roman"/>
          <w:color w:val="auto"/>
          <w:sz w:val="24"/>
          <w:szCs w:val="24"/>
        </w:rPr>
      </w:pPr>
      <w:commentRangeStart w:id="3"/>
      <w:r w:rsidRPr="002B710B">
        <w:rPr>
          <w:rFonts w:ascii="Times New Roman" w:eastAsia="Arial Unicode MS" w:hAnsi="Times New Roman" w:cs="Times New Roman"/>
          <w:b/>
          <w:color w:val="auto"/>
          <w:sz w:val="24"/>
          <w:szCs w:val="24"/>
        </w:rPr>
        <w:t>Pathway Analysis</w:t>
      </w:r>
      <w:commentRangeEnd w:id="3"/>
      <w:r w:rsidR="00D0565C">
        <w:rPr>
          <w:rStyle w:val="CommentReference"/>
        </w:rPr>
        <w:commentReference w:id="3"/>
      </w:r>
    </w:p>
    <w:p w14:paraId="57296FB2" w14:textId="77777777" w:rsidR="002D054E" w:rsidRDefault="00E27549">
      <w:pPr>
        <w:spacing w:after="0" w:line="480" w:lineRule="auto"/>
        <w:rPr>
          <w:rFonts w:ascii="Times New Roman" w:eastAsia="Arial Unicode MS" w:hAnsi="Times New Roman" w:cs="Times New Roman"/>
          <w:color w:val="auto"/>
          <w:sz w:val="24"/>
          <w:szCs w:val="24"/>
        </w:rPr>
      </w:pPr>
      <w:r w:rsidRPr="002B710B">
        <w:rPr>
          <w:rFonts w:ascii="Times New Roman" w:eastAsia="Arial Unicode MS" w:hAnsi="Times New Roman" w:cs="Times New Roman"/>
          <w:color w:val="auto"/>
          <w:sz w:val="24"/>
          <w:szCs w:val="24"/>
        </w:rPr>
        <w:tab/>
      </w:r>
      <w:r w:rsidR="002D054E">
        <w:rPr>
          <w:rFonts w:ascii="Times New Roman" w:eastAsia="Arial Unicode MS" w:hAnsi="Times New Roman" w:cs="Times New Roman"/>
          <w:color w:val="auto"/>
          <w:sz w:val="24"/>
          <w:szCs w:val="24"/>
        </w:rPr>
        <w:t>Our</w:t>
      </w:r>
      <w:r w:rsidR="00347795" w:rsidRPr="002B710B">
        <w:rPr>
          <w:rFonts w:ascii="Times New Roman" w:eastAsia="Arial Unicode MS" w:hAnsi="Times New Roman" w:cs="Times New Roman"/>
          <w:color w:val="auto"/>
          <w:sz w:val="24"/>
          <w:szCs w:val="24"/>
        </w:rPr>
        <w:t xml:space="preserve"> pathway analyses</w:t>
      </w:r>
      <w:r w:rsidR="002D054E">
        <w:rPr>
          <w:rFonts w:ascii="Times New Roman" w:eastAsia="Arial Unicode MS" w:hAnsi="Times New Roman" w:cs="Times New Roman"/>
          <w:color w:val="auto"/>
          <w:sz w:val="24"/>
          <w:szCs w:val="24"/>
        </w:rPr>
        <w:t xml:space="preserve"> begins</w:t>
      </w:r>
      <w:r w:rsidR="006322AA" w:rsidRPr="002B710B">
        <w:rPr>
          <w:rFonts w:ascii="Times New Roman" w:eastAsia="Arial Unicode MS" w:hAnsi="Times New Roman" w:cs="Times New Roman"/>
          <w:color w:val="auto"/>
          <w:sz w:val="24"/>
          <w:szCs w:val="24"/>
        </w:rPr>
        <w:t xml:space="preserve"> by presenting differences between students who </w:t>
      </w:r>
      <w:r w:rsidR="007D794A">
        <w:rPr>
          <w:rFonts w:ascii="Times New Roman" w:eastAsia="Arial Unicode MS" w:hAnsi="Times New Roman" w:cs="Times New Roman"/>
          <w:color w:val="auto"/>
          <w:sz w:val="24"/>
          <w:szCs w:val="24"/>
        </w:rPr>
        <w:t>enroll</w:t>
      </w:r>
      <w:r w:rsidR="006322AA" w:rsidRPr="002B710B">
        <w:rPr>
          <w:rFonts w:ascii="Times New Roman" w:eastAsia="Arial Unicode MS" w:hAnsi="Times New Roman" w:cs="Times New Roman"/>
          <w:color w:val="auto"/>
          <w:sz w:val="24"/>
          <w:szCs w:val="24"/>
        </w:rPr>
        <w:t xml:space="preserve"> in at least one STEM course and students who </w:t>
      </w:r>
      <w:r w:rsidR="007D794A">
        <w:rPr>
          <w:rFonts w:ascii="Times New Roman" w:eastAsia="Arial Unicode MS" w:hAnsi="Times New Roman" w:cs="Times New Roman"/>
          <w:color w:val="auto"/>
          <w:sz w:val="24"/>
          <w:szCs w:val="24"/>
        </w:rPr>
        <w:t>enroll</w:t>
      </w:r>
      <w:r w:rsidR="006322AA" w:rsidRPr="002B710B">
        <w:rPr>
          <w:rFonts w:ascii="Times New Roman" w:eastAsia="Arial Unicode MS" w:hAnsi="Times New Roman" w:cs="Times New Roman"/>
          <w:color w:val="auto"/>
          <w:sz w:val="24"/>
          <w:szCs w:val="24"/>
        </w:rPr>
        <w:t xml:space="preserve"> in the previously identified course pairs.  </w:t>
      </w:r>
      <w:r w:rsidR="005F7821">
        <w:rPr>
          <w:rFonts w:ascii="Times New Roman" w:eastAsia="Arial Unicode MS" w:hAnsi="Times New Roman" w:cs="Times New Roman"/>
          <w:color w:val="auto"/>
          <w:sz w:val="24"/>
          <w:szCs w:val="24"/>
        </w:rPr>
        <w:t>Figure 1</w:t>
      </w:r>
      <w:r w:rsidR="00D11E1A" w:rsidRPr="002B710B">
        <w:rPr>
          <w:rFonts w:ascii="Times New Roman" w:eastAsia="Arial Unicode MS" w:hAnsi="Times New Roman" w:cs="Times New Roman"/>
          <w:color w:val="auto"/>
          <w:sz w:val="24"/>
          <w:szCs w:val="24"/>
        </w:rPr>
        <w:t xml:space="preserve"> </w:t>
      </w:r>
      <w:r w:rsidR="006322AA" w:rsidRPr="002B710B">
        <w:rPr>
          <w:rFonts w:ascii="Times New Roman" w:eastAsia="Arial Unicode MS" w:hAnsi="Times New Roman" w:cs="Times New Roman"/>
          <w:color w:val="auto"/>
          <w:sz w:val="24"/>
          <w:szCs w:val="24"/>
        </w:rPr>
        <w:t>includes</w:t>
      </w:r>
      <w:r w:rsidR="00D11E1A" w:rsidRPr="002B710B">
        <w:rPr>
          <w:rFonts w:ascii="Times New Roman" w:eastAsia="Arial Unicode MS" w:hAnsi="Times New Roman" w:cs="Times New Roman"/>
          <w:color w:val="auto"/>
          <w:sz w:val="24"/>
          <w:szCs w:val="24"/>
        </w:rPr>
        <w:t xml:space="preserve"> the outcomes for students who have taken at least one </w:t>
      </w:r>
      <w:r w:rsidR="005F7821">
        <w:rPr>
          <w:rFonts w:ascii="Times New Roman" w:eastAsia="Arial Unicode MS" w:hAnsi="Times New Roman" w:cs="Times New Roman"/>
          <w:color w:val="auto"/>
          <w:sz w:val="24"/>
          <w:szCs w:val="24"/>
        </w:rPr>
        <w:t>college-level</w:t>
      </w:r>
      <w:r w:rsidR="00D11E1A" w:rsidRPr="002B710B">
        <w:rPr>
          <w:rFonts w:ascii="Times New Roman" w:eastAsia="Arial Unicode MS" w:hAnsi="Times New Roman" w:cs="Times New Roman"/>
          <w:color w:val="auto"/>
          <w:sz w:val="24"/>
          <w:szCs w:val="24"/>
        </w:rPr>
        <w:t xml:space="preserve"> STEM course and the outcomes of students who </w:t>
      </w:r>
      <w:r w:rsidR="00D0565C">
        <w:rPr>
          <w:rFonts w:ascii="Times New Roman" w:eastAsia="Arial Unicode MS" w:hAnsi="Times New Roman" w:cs="Times New Roman"/>
          <w:color w:val="auto"/>
          <w:sz w:val="24"/>
          <w:szCs w:val="24"/>
        </w:rPr>
        <w:t>enroll in</w:t>
      </w:r>
      <w:r w:rsidR="00D0565C" w:rsidRPr="002B710B">
        <w:rPr>
          <w:rFonts w:ascii="Times New Roman" w:eastAsia="Arial Unicode MS" w:hAnsi="Times New Roman" w:cs="Times New Roman"/>
          <w:color w:val="auto"/>
          <w:sz w:val="24"/>
          <w:szCs w:val="24"/>
        </w:rPr>
        <w:t xml:space="preserve"> </w:t>
      </w:r>
      <w:r w:rsidR="00D11E1A" w:rsidRPr="002B710B">
        <w:rPr>
          <w:rFonts w:ascii="Times New Roman" w:eastAsia="Arial Unicode MS" w:hAnsi="Times New Roman" w:cs="Times New Roman"/>
          <w:color w:val="auto"/>
          <w:sz w:val="24"/>
          <w:szCs w:val="24"/>
        </w:rPr>
        <w:t>each of t</w:t>
      </w:r>
      <w:r w:rsidR="00CD2C00" w:rsidRPr="002B710B">
        <w:rPr>
          <w:rFonts w:ascii="Times New Roman" w:eastAsia="Arial Unicode MS" w:hAnsi="Times New Roman" w:cs="Times New Roman"/>
          <w:color w:val="auto"/>
          <w:sz w:val="24"/>
          <w:szCs w:val="24"/>
        </w:rPr>
        <w:t xml:space="preserve">he three critical course pairs. </w:t>
      </w:r>
      <w:r w:rsidR="00347795" w:rsidRPr="002B710B">
        <w:rPr>
          <w:rFonts w:ascii="Times New Roman" w:eastAsia="Arial Unicode MS" w:hAnsi="Times New Roman" w:cs="Times New Roman"/>
          <w:color w:val="auto"/>
          <w:sz w:val="24"/>
          <w:szCs w:val="24"/>
        </w:rPr>
        <w:t xml:space="preserve"> </w:t>
      </w:r>
      <w:r w:rsidR="00CD2C00" w:rsidRPr="002B710B">
        <w:rPr>
          <w:rFonts w:ascii="Times New Roman" w:eastAsia="Arial Unicode MS" w:hAnsi="Times New Roman" w:cs="Times New Roman"/>
          <w:color w:val="auto"/>
          <w:sz w:val="24"/>
          <w:szCs w:val="24"/>
        </w:rPr>
        <w:t>As mentioned previously, beginning at this point limits our focus to one-third of all community college students in our sample</w:t>
      </w:r>
      <w:r w:rsidR="005F7821">
        <w:rPr>
          <w:rFonts w:ascii="Times New Roman" w:eastAsia="Arial Unicode MS" w:hAnsi="Times New Roman" w:cs="Times New Roman"/>
          <w:color w:val="auto"/>
          <w:sz w:val="24"/>
          <w:szCs w:val="24"/>
        </w:rPr>
        <w:t xml:space="preserve">, which seems appropriate given the extensive work </w:t>
      </w:r>
      <w:r w:rsidR="00CD2C00" w:rsidRPr="002B710B">
        <w:rPr>
          <w:rFonts w:ascii="Times New Roman" w:eastAsia="Arial Unicode MS" w:hAnsi="Times New Roman" w:cs="Times New Roman"/>
          <w:color w:val="auto"/>
          <w:sz w:val="24"/>
          <w:szCs w:val="24"/>
        </w:rPr>
        <w:t xml:space="preserve">  </w:t>
      </w:r>
      <w:r w:rsidR="005F7821">
        <w:rPr>
          <w:rFonts w:ascii="Times New Roman" w:eastAsia="Arial Unicode MS" w:hAnsi="Times New Roman" w:cs="Times New Roman"/>
          <w:color w:val="auto"/>
          <w:sz w:val="24"/>
          <w:szCs w:val="24"/>
        </w:rPr>
        <w:t>done on</w:t>
      </w:r>
      <w:r w:rsidR="00CD2C00" w:rsidRPr="002B710B">
        <w:rPr>
          <w:rFonts w:ascii="Times New Roman" w:eastAsia="Arial Unicode MS" w:hAnsi="Times New Roman" w:cs="Times New Roman"/>
          <w:color w:val="auto"/>
          <w:sz w:val="24"/>
          <w:szCs w:val="24"/>
        </w:rPr>
        <w:t xml:space="preserve"> developmental education (</w:t>
      </w:r>
      <w:r w:rsidR="006322AA" w:rsidRPr="002B710B">
        <w:rPr>
          <w:rFonts w:ascii="Times New Roman" w:eastAsia="Arial Unicode MS" w:hAnsi="Times New Roman" w:cs="Times New Roman"/>
          <w:color w:val="auto"/>
          <w:sz w:val="24"/>
          <w:szCs w:val="24"/>
        </w:rPr>
        <w:t>Bah</w:t>
      </w:r>
      <w:r w:rsidR="00347795" w:rsidRPr="002B710B">
        <w:rPr>
          <w:rFonts w:ascii="Times New Roman" w:eastAsia="Arial Unicode MS" w:hAnsi="Times New Roman" w:cs="Times New Roman"/>
          <w:color w:val="auto"/>
          <w:sz w:val="24"/>
          <w:szCs w:val="24"/>
        </w:rPr>
        <w:t>r</w:t>
      </w:r>
      <w:r w:rsidR="006322AA" w:rsidRPr="002B710B">
        <w:rPr>
          <w:rFonts w:ascii="Times New Roman" w:eastAsia="Arial Unicode MS" w:hAnsi="Times New Roman" w:cs="Times New Roman"/>
          <w:color w:val="auto"/>
          <w:sz w:val="24"/>
          <w:szCs w:val="24"/>
        </w:rPr>
        <w:t xml:space="preserve">, 2010, 2012; </w:t>
      </w:r>
      <w:proofErr w:type="spellStart"/>
      <w:r w:rsidR="006322AA" w:rsidRPr="002B710B">
        <w:rPr>
          <w:rFonts w:ascii="Times New Roman" w:eastAsia="Arial Unicode MS" w:hAnsi="Times New Roman" w:cs="Times New Roman"/>
          <w:color w:val="auto"/>
          <w:sz w:val="24"/>
          <w:szCs w:val="24"/>
        </w:rPr>
        <w:t>Haggedorn</w:t>
      </w:r>
      <w:proofErr w:type="spellEnd"/>
      <w:r w:rsidR="006322AA" w:rsidRPr="002B710B">
        <w:rPr>
          <w:rFonts w:ascii="Times New Roman" w:eastAsia="Arial Unicode MS" w:hAnsi="Times New Roman" w:cs="Times New Roman"/>
          <w:color w:val="auto"/>
          <w:sz w:val="24"/>
          <w:szCs w:val="24"/>
        </w:rPr>
        <w:t>, 2006</w:t>
      </w:r>
      <w:r w:rsidR="00CD2C00" w:rsidRPr="002B710B">
        <w:rPr>
          <w:rFonts w:ascii="Times New Roman" w:eastAsia="Arial Unicode MS" w:hAnsi="Times New Roman" w:cs="Times New Roman"/>
          <w:color w:val="auto"/>
          <w:sz w:val="24"/>
          <w:szCs w:val="24"/>
        </w:rPr>
        <w:t>)</w:t>
      </w:r>
      <w:r w:rsidR="005F7821">
        <w:rPr>
          <w:rFonts w:ascii="Times New Roman" w:eastAsia="Arial Unicode MS" w:hAnsi="Times New Roman" w:cs="Times New Roman"/>
          <w:color w:val="auto"/>
          <w:sz w:val="24"/>
          <w:szCs w:val="24"/>
        </w:rPr>
        <w:t xml:space="preserve">. </w:t>
      </w:r>
    </w:p>
    <w:p w14:paraId="29126F50" w14:textId="006F1B2A" w:rsidR="00724526" w:rsidRDefault="002D054E" w:rsidP="002D054E">
      <w:pPr>
        <w:spacing w:after="0" w:line="480" w:lineRule="auto"/>
        <w:ind w:firstLine="720"/>
        <w:rPr>
          <w:rFonts w:ascii="Times New Roman" w:eastAsia="Arial Unicode MS" w:hAnsi="Times New Roman" w:cs="Times New Roman"/>
          <w:color w:val="auto"/>
          <w:sz w:val="24"/>
          <w:szCs w:val="24"/>
        </w:rPr>
      </w:pPr>
      <w:r>
        <w:rPr>
          <w:rFonts w:ascii="Times New Roman" w:eastAsia="Arial Unicode MS" w:hAnsi="Times New Roman" w:cs="Times New Roman"/>
          <w:color w:val="auto"/>
          <w:sz w:val="24"/>
          <w:szCs w:val="24"/>
        </w:rPr>
        <w:t>O</w:t>
      </w:r>
      <w:r w:rsidR="00CD2C00" w:rsidRPr="002B710B">
        <w:rPr>
          <w:rFonts w:ascii="Times New Roman" w:eastAsia="Arial Unicode MS" w:hAnsi="Times New Roman" w:cs="Times New Roman"/>
          <w:color w:val="auto"/>
          <w:sz w:val="24"/>
          <w:szCs w:val="24"/>
        </w:rPr>
        <w:t xml:space="preserve">f the </w:t>
      </w:r>
      <w:r w:rsidR="006F299F" w:rsidRPr="002B710B">
        <w:rPr>
          <w:rFonts w:ascii="Times New Roman" w:eastAsia="Arial Unicode MS" w:hAnsi="Times New Roman" w:cs="Times New Roman"/>
          <w:color w:val="auto"/>
          <w:sz w:val="24"/>
          <w:szCs w:val="24"/>
        </w:rPr>
        <w:t>over one-</w:t>
      </w:r>
      <w:r w:rsidR="00CD2C00" w:rsidRPr="002B710B">
        <w:rPr>
          <w:rFonts w:ascii="Times New Roman" w:eastAsia="Arial Unicode MS" w:hAnsi="Times New Roman" w:cs="Times New Roman"/>
          <w:color w:val="auto"/>
          <w:sz w:val="24"/>
          <w:szCs w:val="24"/>
        </w:rPr>
        <w:t xml:space="preserve">million students who took at least one </w:t>
      </w:r>
      <w:r w:rsidR="005F7821">
        <w:rPr>
          <w:rFonts w:ascii="Times New Roman" w:eastAsia="Arial Unicode MS" w:hAnsi="Times New Roman" w:cs="Times New Roman"/>
          <w:color w:val="auto"/>
          <w:sz w:val="24"/>
          <w:szCs w:val="24"/>
        </w:rPr>
        <w:t>college-level</w:t>
      </w:r>
      <w:r w:rsidR="00CD2C00" w:rsidRPr="002B710B">
        <w:rPr>
          <w:rFonts w:ascii="Times New Roman" w:eastAsia="Arial Unicode MS" w:hAnsi="Times New Roman" w:cs="Times New Roman"/>
          <w:color w:val="auto"/>
          <w:sz w:val="24"/>
          <w:szCs w:val="24"/>
        </w:rPr>
        <w:t xml:space="preserve"> STEM course, a little less than 7% </w:t>
      </w:r>
      <w:r w:rsidR="00702EB4">
        <w:rPr>
          <w:rFonts w:ascii="Times New Roman" w:eastAsia="Arial Unicode MS" w:hAnsi="Times New Roman" w:cs="Times New Roman"/>
          <w:color w:val="auto"/>
          <w:sz w:val="24"/>
          <w:szCs w:val="24"/>
        </w:rPr>
        <w:t>[</w:t>
      </w:r>
      <w:r w:rsidR="00CD2C00" w:rsidRPr="002B710B">
        <w:rPr>
          <w:rFonts w:ascii="Times New Roman" w:eastAsia="Arial Unicode MS" w:hAnsi="Times New Roman" w:cs="Times New Roman"/>
          <w:color w:val="auto"/>
          <w:sz w:val="24"/>
          <w:szCs w:val="24"/>
        </w:rPr>
        <w:t>68</w:t>
      </w:r>
      <w:proofErr w:type="gramStart"/>
      <w:r w:rsidR="00CD2C00" w:rsidRPr="002B710B">
        <w:rPr>
          <w:rFonts w:ascii="Times New Roman" w:eastAsia="Arial Unicode MS" w:hAnsi="Times New Roman" w:cs="Times New Roman"/>
          <w:color w:val="auto"/>
          <w:sz w:val="24"/>
          <w:szCs w:val="24"/>
        </w:rPr>
        <w:t>,1</w:t>
      </w:r>
      <w:r w:rsidR="006A68AF" w:rsidRPr="002B710B">
        <w:rPr>
          <w:rFonts w:ascii="Times New Roman" w:eastAsia="Arial Unicode MS" w:hAnsi="Times New Roman" w:cs="Times New Roman"/>
          <w:color w:val="auto"/>
          <w:sz w:val="24"/>
          <w:szCs w:val="24"/>
        </w:rPr>
        <w:t>694</w:t>
      </w:r>
      <w:proofErr w:type="gramEnd"/>
      <w:r w:rsidR="00CD2C00" w:rsidRPr="002B710B">
        <w:rPr>
          <w:rFonts w:ascii="Times New Roman" w:eastAsia="Arial Unicode MS" w:hAnsi="Times New Roman" w:cs="Times New Roman"/>
          <w:color w:val="auto"/>
          <w:sz w:val="24"/>
          <w:szCs w:val="24"/>
        </w:rPr>
        <w:t xml:space="preserve">/ 1,003,987) completed at </w:t>
      </w:r>
      <w:r w:rsidR="006F299F" w:rsidRPr="002B710B">
        <w:rPr>
          <w:rFonts w:ascii="Times New Roman" w:eastAsia="Arial Unicode MS" w:hAnsi="Times New Roman" w:cs="Times New Roman"/>
          <w:color w:val="auto"/>
          <w:sz w:val="24"/>
          <w:szCs w:val="24"/>
        </w:rPr>
        <w:t>least one of the course pairs.  Further, no more than 3% of the one</w:t>
      </w:r>
      <w:r w:rsidR="00D0565C">
        <w:rPr>
          <w:rFonts w:ascii="Times New Roman" w:eastAsia="Arial Unicode MS" w:hAnsi="Times New Roman" w:cs="Times New Roman"/>
          <w:color w:val="auto"/>
          <w:sz w:val="24"/>
          <w:szCs w:val="24"/>
        </w:rPr>
        <w:t xml:space="preserve"> </w:t>
      </w:r>
      <w:r w:rsidR="006F299F" w:rsidRPr="002B710B">
        <w:rPr>
          <w:rFonts w:ascii="Times New Roman" w:eastAsia="Arial Unicode MS" w:hAnsi="Times New Roman" w:cs="Times New Roman"/>
          <w:color w:val="auto"/>
          <w:sz w:val="24"/>
          <w:szCs w:val="24"/>
        </w:rPr>
        <w:t xml:space="preserve">million students </w:t>
      </w:r>
      <w:r w:rsidR="006F7CD2" w:rsidRPr="002B710B">
        <w:rPr>
          <w:rFonts w:ascii="Times New Roman" w:eastAsia="Arial Unicode MS" w:hAnsi="Times New Roman" w:cs="Times New Roman"/>
          <w:color w:val="auto"/>
          <w:sz w:val="24"/>
          <w:szCs w:val="24"/>
        </w:rPr>
        <w:t>completed any</w:t>
      </w:r>
      <w:r w:rsidR="006A68AF" w:rsidRPr="002B710B">
        <w:rPr>
          <w:rFonts w:ascii="Times New Roman" w:eastAsia="Arial Unicode MS" w:hAnsi="Times New Roman" w:cs="Times New Roman"/>
          <w:color w:val="auto"/>
          <w:sz w:val="24"/>
          <w:szCs w:val="24"/>
        </w:rPr>
        <w:t xml:space="preserve"> </w:t>
      </w:r>
      <w:r w:rsidR="005F7821">
        <w:rPr>
          <w:rFonts w:ascii="Times New Roman" w:eastAsia="Arial Unicode MS" w:hAnsi="Times New Roman" w:cs="Times New Roman"/>
          <w:color w:val="auto"/>
          <w:sz w:val="24"/>
          <w:szCs w:val="24"/>
        </w:rPr>
        <w:t>two</w:t>
      </w:r>
      <w:r w:rsidR="006F299F" w:rsidRPr="002B710B">
        <w:rPr>
          <w:rFonts w:ascii="Times New Roman" w:eastAsia="Arial Unicode MS" w:hAnsi="Times New Roman" w:cs="Times New Roman"/>
          <w:color w:val="auto"/>
          <w:sz w:val="24"/>
          <w:szCs w:val="24"/>
        </w:rPr>
        <w:t xml:space="preserve"> of the three course pairs.</w:t>
      </w:r>
      <w:r>
        <w:rPr>
          <w:rFonts w:ascii="Times New Roman" w:eastAsia="Arial Unicode MS" w:hAnsi="Times New Roman" w:cs="Times New Roman"/>
          <w:color w:val="auto"/>
          <w:sz w:val="24"/>
          <w:szCs w:val="24"/>
        </w:rPr>
        <w:t xml:space="preserve"> </w:t>
      </w:r>
      <w:r w:rsidR="006F299F" w:rsidRPr="002B710B">
        <w:rPr>
          <w:rFonts w:ascii="Times New Roman" w:eastAsia="Arial Unicode MS" w:hAnsi="Times New Roman" w:cs="Times New Roman"/>
          <w:color w:val="auto"/>
          <w:sz w:val="24"/>
          <w:szCs w:val="24"/>
        </w:rPr>
        <w:t xml:space="preserve">When comparing all students who have engaged with the STEM curriculum with students who </w:t>
      </w:r>
      <w:r w:rsidR="007D794A">
        <w:rPr>
          <w:rFonts w:ascii="Times New Roman" w:eastAsia="Arial Unicode MS" w:hAnsi="Times New Roman" w:cs="Times New Roman"/>
          <w:color w:val="auto"/>
          <w:sz w:val="24"/>
          <w:szCs w:val="24"/>
        </w:rPr>
        <w:t>enrolled</w:t>
      </w:r>
      <w:r w:rsidR="006F299F" w:rsidRPr="002B710B">
        <w:rPr>
          <w:rFonts w:ascii="Times New Roman" w:eastAsia="Arial Unicode MS" w:hAnsi="Times New Roman" w:cs="Times New Roman"/>
          <w:color w:val="auto"/>
          <w:sz w:val="24"/>
          <w:szCs w:val="24"/>
        </w:rPr>
        <w:t xml:space="preserve"> in interdisciplinary course pairs</w:t>
      </w:r>
      <w:r w:rsidR="00446817" w:rsidRPr="002B710B">
        <w:rPr>
          <w:rFonts w:ascii="Times New Roman" w:eastAsia="Arial Unicode MS" w:hAnsi="Times New Roman" w:cs="Times New Roman"/>
          <w:color w:val="auto"/>
          <w:sz w:val="24"/>
          <w:szCs w:val="24"/>
        </w:rPr>
        <w:t>,</w:t>
      </w:r>
      <w:r w:rsidR="006F299F" w:rsidRPr="002B710B">
        <w:rPr>
          <w:rFonts w:ascii="Times New Roman" w:eastAsia="Arial Unicode MS" w:hAnsi="Times New Roman" w:cs="Times New Roman"/>
          <w:color w:val="auto"/>
          <w:sz w:val="24"/>
          <w:szCs w:val="24"/>
        </w:rPr>
        <w:t xml:space="preserve"> we identify a number of interesting findings.  First, 12% of the students who take at least one STEM </w:t>
      </w:r>
      <w:r w:rsidR="00446817" w:rsidRPr="002B710B">
        <w:rPr>
          <w:rFonts w:ascii="Times New Roman" w:eastAsia="Arial Unicode MS" w:hAnsi="Times New Roman" w:cs="Times New Roman"/>
          <w:color w:val="auto"/>
          <w:sz w:val="24"/>
          <w:szCs w:val="24"/>
        </w:rPr>
        <w:t xml:space="preserve">course </w:t>
      </w:r>
      <w:r w:rsidR="006F299F" w:rsidRPr="002B710B">
        <w:rPr>
          <w:rFonts w:ascii="Times New Roman" w:eastAsia="Arial Unicode MS" w:hAnsi="Times New Roman" w:cs="Times New Roman"/>
          <w:color w:val="auto"/>
          <w:sz w:val="24"/>
          <w:szCs w:val="24"/>
        </w:rPr>
        <w:t>receive a credential and do not transfer, while among the students who attempt the interdisciplinary course pairs</w:t>
      </w:r>
      <w:r w:rsidR="00446817" w:rsidRPr="002B710B">
        <w:rPr>
          <w:rFonts w:ascii="Times New Roman" w:eastAsia="Arial Unicode MS" w:hAnsi="Times New Roman" w:cs="Times New Roman"/>
          <w:color w:val="auto"/>
          <w:sz w:val="24"/>
          <w:szCs w:val="24"/>
        </w:rPr>
        <w:t>,</w:t>
      </w:r>
      <w:r w:rsidR="006A68AF" w:rsidRPr="002B710B">
        <w:rPr>
          <w:rFonts w:ascii="Times New Roman" w:eastAsia="Arial Unicode MS" w:hAnsi="Times New Roman" w:cs="Times New Roman"/>
          <w:color w:val="auto"/>
          <w:sz w:val="24"/>
          <w:szCs w:val="24"/>
        </w:rPr>
        <w:t xml:space="preserve"> that proportion is almost cut in half</w:t>
      </w:r>
      <w:r w:rsidR="006F299F" w:rsidRPr="002B710B">
        <w:rPr>
          <w:rFonts w:ascii="Times New Roman" w:eastAsia="Arial Unicode MS" w:hAnsi="Times New Roman" w:cs="Times New Roman"/>
          <w:color w:val="auto"/>
          <w:sz w:val="24"/>
          <w:szCs w:val="24"/>
        </w:rPr>
        <w:t xml:space="preserve">.  </w:t>
      </w:r>
      <w:r w:rsidR="006A68AF" w:rsidRPr="002B710B">
        <w:rPr>
          <w:rFonts w:ascii="Times New Roman" w:eastAsia="Arial Unicode MS" w:hAnsi="Times New Roman" w:cs="Times New Roman"/>
          <w:color w:val="auto"/>
          <w:sz w:val="24"/>
          <w:szCs w:val="24"/>
        </w:rPr>
        <w:t xml:space="preserve">The highest proportion of students who </w:t>
      </w:r>
      <w:r w:rsidR="007D794A">
        <w:rPr>
          <w:rFonts w:ascii="Times New Roman" w:eastAsia="Arial Unicode MS" w:hAnsi="Times New Roman" w:cs="Times New Roman"/>
          <w:color w:val="auto"/>
          <w:sz w:val="24"/>
          <w:szCs w:val="24"/>
        </w:rPr>
        <w:t>enroll</w:t>
      </w:r>
      <w:r w:rsidR="006A68AF" w:rsidRPr="002B710B">
        <w:rPr>
          <w:rFonts w:ascii="Times New Roman" w:eastAsia="Arial Unicode MS" w:hAnsi="Times New Roman" w:cs="Times New Roman"/>
          <w:color w:val="auto"/>
          <w:sz w:val="24"/>
          <w:szCs w:val="24"/>
        </w:rPr>
        <w:t xml:space="preserve"> in these course pairs that seek a credential are those students who attempt general chemistry and general biology.  </w:t>
      </w:r>
      <w:r w:rsidR="006F299F" w:rsidRPr="002B710B">
        <w:rPr>
          <w:rFonts w:ascii="Times New Roman" w:eastAsia="Arial Unicode MS" w:hAnsi="Times New Roman" w:cs="Times New Roman"/>
          <w:color w:val="auto"/>
          <w:sz w:val="24"/>
          <w:szCs w:val="24"/>
        </w:rPr>
        <w:t xml:space="preserve">This may be associated </w:t>
      </w:r>
      <w:r w:rsidR="006F299F" w:rsidRPr="002B710B">
        <w:rPr>
          <w:rFonts w:ascii="Times New Roman" w:eastAsia="Arial Unicode MS" w:hAnsi="Times New Roman" w:cs="Times New Roman"/>
          <w:color w:val="auto"/>
          <w:sz w:val="24"/>
          <w:szCs w:val="24"/>
        </w:rPr>
        <w:lastRenderedPageBreak/>
        <w:t xml:space="preserve">with the number of students </w:t>
      </w:r>
      <w:r w:rsidR="007145B8" w:rsidRPr="002B710B">
        <w:rPr>
          <w:rFonts w:ascii="Times New Roman" w:eastAsia="Arial Unicode MS" w:hAnsi="Times New Roman" w:cs="Times New Roman"/>
          <w:color w:val="auto"/>
          <w:sz w:val="24"/>
          <w:szCs w:val="24"/>
        </w:rPr>
        <w:t xml:space="preserve">pursuing </w:t>
      </w:r>
      <w:r w:rsidR="006F299F" w:rsidRPr="002B710B">
        <w:rPr>
          <w:rFonts w:ascii="Times New Roman" w:eastAsia="Arial Unicode MS" w:hAnsi="Times New Roman" w:cs="Times New Roman"/>
          <w:color w:val="auto"/>
          <w:sz w:val="24"/>
          <w:szCs w:val="24"/>
        </w:rPr>
        <w:t xml:space="preserve">associate degrees in health fields, but it represents a large number of students who may enter those fields and take critical gateway courses to some STEM fields and then do not pursue these fields after their community college education.  </w:t>
      </w:r>
    </w:p>
    <w:p w14:paraId="4171B89B" w14:textId="6EC647C7" w:rsidR="002D054E" w:rsidRDefault="002D054E" w:rsidP="002D054E">
      <w:pPr>
        <w:spacing w:after="0" w:line="480" w:lineRule="auto"/>
        <w:jc w:val="center"/>
        <w:rPr>
          <w:rFonts w:ascii="Times New Roman" w:eastAsia="Arial Unicode MS" w:hAnsi="Times New Roman" w:cs="Times New Roman"/>
          <w:color w:val="auto"/>
          <w:sz w:val="24"/>
          <w:szCs w:val="24"/>
        </w:rPr>
      </w:pPr>
      <w:r>
        <w:rPr>
          <w:rFonts w:ascii="Times New Roman" w:eastAsia="Arial Unicode MS" w:hAnsi="Times New Roman" w:cs="Times New Roman"/>
          <w:color w:val="auto"/>
          <w:sz w:val="24"/>
          <w:szCs w:val="24"/>
        </w:rPr>
        <w:t>[</w:t>
      </w:r>
      <w:r w:rsidRPr="002B710B">
        <w:rPr>
          <w:rFonts w:ascii="Times New Roman" w:eastAsia="Arial Unicode MS" w:hAnsi="Times New Roman" w:cs="Times New Roman"/>
          <w:color w:val="auto"/>
          <w:sz w:val="24"/>
          <w:szCs w:val="24"/>
        </w:rPr>
        <w:t xml:space="preserve">Insert Figure </w:t>
      </w:r>
      <w:r>
        <w:rPr>
          <w:rFonts w:ascii="Times New Roman" w:eastAsia="Arial Unicode MS" w:hAnsi="Times New Roman" w:cs="Times New Roman"/>
          <w:color w:val="auto"/>
          <w:sz w:val="24"/>
          <w:szCs w:val="24"/>
        </w:rPr>
        <w:t>1</w:t>
      </w:r>
      <w:r w:rsidRPr="002B710B">
        <w:rPr>
          <w:rFonts w:ascii="Times New Roman" w:eastAsia="Arial Unicode MS" w:hAnsi="Times New Roman" w:cs="Times New Roman"/>
          <w:color w:val="auto"/>
          <w:sz w:val="24"/>
          <w:szCs w:val="24"/>
        </w:rPr>
        <w:t xml:space="preserve"> about here</w:t>
      </w:r>
      <w:r>
        <w:rPr>
          <w:rFonts w:ascii="Times New Roman" w:eastAsia="Arial Unicode MS" w:hAnsi="Times New Roman" w:cs="Times New Roman"/>
          <w:color w:val="auto"/>
          <w:sz w:val="24"/>
          <w:szCs w:val="24"/>
        </w:rPr>
        <w:t>]</w:t>
      </w:r>
    </w:p>
    <w:p w14:paraId="43451572" w14:textId="77777777" w:rsidR="00724526" w:rsidRDefault="006F299F">
      <w:pPr>
        <w:spacing w:after="0" w:line="480" w:lineRule="auto"/>
        <w:rPr>
          <w:rFonts w:ascii="Times New Roman" w:eastAsia="Arial Unicode MS" w:hAnsi="Times New Roman" w:cs="Times New Roman"/>
          <w:color w:val="auto"/>
          <w:sz w:val="24"/>
          <w:szCs w:val="24"/>
        </w:rPr>
      </w:pPr>
      <w:r w:rsidRPr="002B710B">
        <w:rPr>
          <w:rFonts w:ascii="Times New Roman" w:eastAsia="Arial Unicode MS" w:hAnsi="Times New Roman" w:cs="Times New Roman"/>
          <w:color w:val="auto"/>
          <w:sz w:val="24"/>
          <w:szCs w:val="24"/>
        </w:rPr>
        <w:tab/>
        <w:t xml:space="preserve">The second noteworthy finding is that </w:t>
      </w:r>
      <w:r w:rsidR="008120E2" w:rsidRPr="002B710B">
        <w:rPr>
          <w:rFonts w:ascii="Times New Roman" w:eastAsia="Arial Unicode MS" w:hAnsi="Times New Roman" w:cs="Times New Roman"/>
          <w:color w:val="auto"/>
          <w:sz w:val="24"/>
          <w:szCs w:val="24"/>
        </w:rPr>
        <w:t>among students who are historically disadvantaged, even among those who attempted any of the three interdisciplinary course pairs, 11% less transfer or transfer w</w:t>
      </w:r>
      <w:r w:rsidR="006A68AF" w:rsidRPr="002B710B">
        <w:rPr>
          <w:rFonts w:ascii="Times New Roman" w:eastAsia="Arial Unicode MS" w:hAnsi="Times New Roman" w:cs="Times New Roman"/>
          <w:color w:val="auto"/>
          <w:sz w:val="24"/>
          <w:szCs w:val="24"/>
        </w:rPr>
        <w:t>ith a credential.  Further, 7-18</w:t>
      </w:r>
      <w:r w:rsidR="008120E2" w:rsidRPr="002B710B">
        <w:rPr>
          <w:rFonts w:ascii="Times New Roman" w:eastAsia="Arial Unicode MS" w:hAnsi="Times New Roman" w:cs="Times New Roman"/>
          <w:color w:val="auto"/>
          <w:sz w:val="24"/>
          <w:szCs w:val="24"/>
        </w:rPr>
        <w:t>% more of the historically disadvantaged students who attempt these beyond introductory STEM c</w:t>
      </w:r>
      <w:r w:rsidR="006A68AF" w:rsidRPr="002B710B">
        <w:rPr>
          <w:rFonts w:ascii="Times New Roman" w:eastAsia="Arial Unicode MS" w:hAnsi="Times New Roman" w:cs="Times New Roman"/>
          <w:color w:val="auto"/>
          <w:sz w:val="24"/>
          <w:szCs w:val="24"/>
        </w:rPr>
        <w:t xml:space="preserve">ourse pairs neither complete a </w:t>
      </w:r>
      <w:r w:rsidR="008120E2" w:rsidRPr="002B710B">
        <w:rPr>
          <w:rFonts w:ascii="Times New Roman" w:eastAsia="Arial Unicode MS" w:hAnsi="Times New Roman" w:cs="Times New Roman"/>
          <w:color w:val="auto"/>
          <w:sz w:val="24"/>
          <w:szCs w:val="24"/>
        </w:rPr>
        <w:t>credential</w:t>
      </w:r>
      <w:r w:rsidR="006A68AF" w:rsidRPr="002B710B">
        <w:rPr>
          <w:rFonts w:ascii="Times New Roman" w:eastAsia="Arial Unicode MS" w:hAnsi="Times New Roman" w:cs="Times New Roman"/>
          <w:color w:val="auto"/>
          <w:sz w:val="24"/>
          <w:szCs w:val="24"/>
        </w:rPr>
        <w:t>,</w:t>
      </w:r>
      <w:r w:rsidR="008120E2" w:rsidRPr="002B710B">
        <w:rPr>
          <w:rFonts w:ascii="Times New Roman" w:eastAsia="Arial Unicode MS" w:hAnsi="Times New Roman" w:cs="Times New Roman"/>
          <w:color w:val="auto"/>
          <w:sz w:val="24"/>
          <w:szCs w:val="24"/>
        </w:rPr>
        <w:t xml:space="preserve"> </w:t>
      </w:r>
      <w:r w:rsidR="006A68AF" w:rsidRPr="002B710B">
        <w:rPr>
          <w:rFonts w:ascii="Times New Roman" w:eastAsia="Arial Unicode MS" w:hAnsi="Times New Roman" w:cs="Times New Roman"/>
          <w:color w:val="auto"/>
          <w:sz w:val="24"/>
          <w:szCs w:val="24"/>
        </w:rPr>
        <w:t>n</w:t>
      </w:r>
      <w:r w:rsidR="008120E2" w:rsidRPr="002B710B">
        <w:rPr>
          <w:rFonts w:ascii="Times New Roman" w:eastAsia="Arial Unicode MS" w:hAnsi="Times New Roman" w:cs="Times New Roman"/>
          <w:color w:val="auto"/>
          <w:sz w:val="24"/>
          <w:szCs w:val="24"/>
        </w:rPr>
        <w:t xml:space="preserve">or transfer when compared to historically advantaged students.  </w:t>
      </w:r>
      <w:r w:rsidR="006A68AF" w:rsidRPr="002B710B">
        <w:rPr>
          <w:rFonts w:ascii="Times New Roman" w:eastAsia="Arial Unicode MS" w:hAnsi="Times New Roman" w:cs="Times New Roman"/>
          <w:color w:val="auto"/>
          <w:sz w:val="24"/>
          <w:szCs w:val="24"/>
        </w:rPr>
        <w:t>B</w:t>
      </w:r>
      <w:r w:rsidR="008120E2" w:rsidRPr="002B710B">
        <w:rPr>
          <w:rFonts w:ascii="Times New Roman" w:eastAsia="Arial Unicode MS" w:hAnsi="Times New Roman" w:cs="Times New Roman"/>
          <w:color w:val="auto"/>
          <w:sz w:val="24"/>
          <w:szCs w:val="24"/>
        </w:rPr>
        <w:t xml:space="preserve">oth of these findings </w:t>
      </w:r>
      <w:r w:rsidR="007145B8" w:rsidRPr="002B710B">
        <w:rPr>
          <w:rFonts w:ascii="Times New Roman" w:eastAsia="Arial Unicode MS" w:hAnsi="Times New Roman" w:cs="Times New Roman"/>
          <w:color w:val="auto"/>
          <w:sz w:val="24"/>
          <w:szCs w:val="24"/>
        </w:rPr>
        <w:t>(</w:t>
      </w:r>
      <w:r w:rsidR="008120E2" w:rsidRPr="002B710B">
        <w:rPr>
          <w:rFonts w:ascii="Times New Roman" w:eastAsia="Arial Unicode MS" w:hAnsi="Times New Roman" w:cs="Times New Roman"/>
          <w:color w:val="auto"/>
          <w:sz w:val="24"/>
          <w:szCs w:val="24"/>
        </w:rPr>
        <w:t>historically disadvantaged students being less likely to transfer and more likely to stop out</w:t>
      </w:r>
      <w:r w:rsidR="007145B8" w:rsidRPr="002B710B">
        <w:rPr>
          <w:rFonts w:ascii="Times New Roman" w:eastAsia="Arial Unicode MS" w:hAnsi="Times New Roman" w:cs="Times New Roman"/>
          <w:color w:val="auto"/>
          <w:sz w:val="24"/>
          <w:szCs w:val="24"/>
        </w:rPr>
        <w:t>)</w:t>
      </w:r>
      <w:r w:rsidR="008120E2" w:rsidRPr="002B710B">
        <w:rPr>
          <w:rFonts w:ascii="Times New Roman" w:eastAsia="Arial Unicode MS" w:hAnsi="Times New Roman" w:cs="Times New Roman"/>
          <w:color w:val="auto"/>
          <w:sz w:val="24"/>
          <w:szCs w:val="24"/>
        </w:rPr>
        <w:t xml:space="preserve"> are especially troubling because 37% of the students who take at least one STEM course are from historically disadvan</w:t>
      </w:r>
      <w:r w:rsidR="006A68AF" w:rsidRPr="002B710B">
        <w:rPr>
          <w:rFonts w:ascii="Times New Roman" w:eastAsia="Arial Unicode MS" w:hAnsi="Times New Roman" w:cs="Times New Roman"/>
          <w:color w:val="auto"/>
          <w:sz w:val="24"/>
          <w:szCs w:val="24"/>
        </w:rPr>
        <w:t>taged racial groups, but only 25</w:t>
      </w:r>
      <w:r w:rsidR="008120E2" w:rsidRPr="002B710B">
        <w:rPr>
          <w:rFonts w:ascii="Times New Roman" w:eastAsia="Arial Unicode MS" w:hAnsi="Times New Roman" w:cs="Times New Roman"/>
          <w:color w:val="auto"/>
          <w:sz w:val="24"/>
          <w:szCs w:val="24"/>
        </w:rPr>
        <w:t>%</w:t>
      </w:r>
      <w:r w:rsidR="007A63C9" w:rsidRPr="002B710B">
        <w:rPr>
          <w:rFonts w:ascii="Times New Roman" w:eastAsia="Arial Unicode MS" w:hAnsi="Times New Roman" w:cs="Times New Roman"/>
          <w:color w:val="auto"/>
          <w:sz w:val="24"/>
          <w:szCs w:val="24"/>
        </w:rPr>
        <w:t xml:space="preserve"> </w:t>
      </w:r>
      <w:r w:rsidR="00702EB4">
        <w:rPr>
          <w:rFonts w:ascii="Times New Roman" w:eastAsia="Arial Unicode MS" w:hAnsi="Times New Roman" w:cs="Times New Roman"/>
          <w:color w:val="auto"/>
          <w:sz w:val="24"/>
          <w:szCs w:val="24"/>
        </w:rPr>
        <w:t>[</w:t>
      </w:r>
      <w:r w:rsidR="006A68AF" w:rsidRPr="002B710B">
        <w:rPr>
          <w:rFonts w:ascii="Times New Roman" w:eastAsia="Arial Unicode MS" w:hAnsi="Times New Roman" w:cs="Times New Roman"/>
          <w:color w:val="auto"/>
          <w:sz w:val="24"/>
          <w:szCs w:val="24"/>
        </w:rPr>
        <w:t>15,578/61,904</w:t>
      </w:r>
      <w:r w:rsidR="00702EB4">
        <w:rPr>
          <w:rFonts w:ascii="Times New Roman" w:eastAsia="Arial Unicode MS" w:hAnsi="Times New Roman" w:cs="Times New Roman"/>
          <w:color w:val="auto"/>
          <w:sz w:val="24"/>
          <w:szCs w:val="24"/>
        </w:rPr>
        <w:t>]</w:t>
      </w:r>
      <w:r w:rsidR="008120E2" w:rsidRPr="002B710B">
        <w:rPr>
          <w:rFonts w:ascii="Times New Roman" w:eastAsia="Arial Unicode MS" w:hAnsi="Times New Roman" w:cs="Times New Roman"/>
          <w:color w:val="auto"/>
          <w:sz w:val="24"/>
          <w:szCs w:val="24"/>
        </w:rPr>
        <w:t xml:space="preserve"> </w:t>
      </w:r>
      <w:r w:rsidR="007A63C9" w:rsidRPr="002B710B">
        <w:rPr>
          <w:rFonts w:ascii="Times New Roman" w:eastAsia="Arial Unicode MS" w:hAnsi="Times New Roman" w:cs="Times New Roman"/>
          <w:color w:val="auto"/>
          <w:sz w:val="24"/>
          <w:szCs w:val="24"/>
        </w:rPr>
        <w:t xml:space="preserve">of students who </w:t>
      </w:r>
      <w:r w:rsidR="007D794A">
        <w:rPr>
          <w:rFonts w:ascii="Times New Roman" w:eastAsia="Arial Unicode MS" w:hAnsi="Times New Roman" w:cs="Times New Roman"/>
          <w:color w:val="auto"/>
          <w:sz w:val="24"/>
          <w:szCs w:val="24"/>
        </w:rPr>
        <w:t>enroll</w:t>
      </w:r>
      <w:r w:rsidR="007A63C9" w:rsidRPr="002B710B">
        <w:rPr>
          <w:rFonts w:ascii="Times New Roman" w:eastAsia="Arial Unicode MS" w:hAnsi="Times New Roman" w:cs="Times New Roman"/>
          <w:color w:val="auto"/>
          <w:sz w:val="24"/>
          <w:szCs w:val="24"/>
        </w:rPr>
        <w:t xml:space="preserve"> in at least one of our identified critical combinations are historically disadvantaged students. </w:t>
      </w:r>
    </w:p>
    <w:p w14:paraId="4C5497E5" w14:textId="77777777" w:rsidR="00724526" w:rsidRDefault="008120E2">
      <w:pPr>
        <w:spacing w:after="0" w:line="480" w:lineRule="auto"/>
        <w:rPr>
          <w:rFonts w:ascii="Times New Roman" w:eastAsia="Arial Unicode MS" w:hAnsi="Times New Roman" w:cs="Times New Roman"/>
          <w:color w:val="auto"/>
          <w:sz w:val="24"/>
          <w:szCs w:val="24"/>
        </w:rPr>
      </w:pPr>
      <w:r w:rsidRPr="002B710B">
        <w:rPr>
          <w:rFonts w:ascii="Times New Roman" w:eastAsia="Arial Unicode MS" w:hAnsi="Times New Roman" w:cs="Times New Roman"/>
          <w:color w:val="auto"/>
          <w:sz w:val="24"/>
          <w:szCs w:val="24"/>
        </w:rPr>
        <w:tab/>
      </w:r>
      <w:r w:rsidR="007145B8" w:rsidRPr="002B710B">
        <w:rPr>
          <w:rFonts w:ascii="Times New Roman" w:eastAsia="Arial Unicode MS" w:hAnsi="Times New Roman" w:cs="Times New Roman"/>
          <w:color w:val="auto"/>
          <w:sz w:val="24"/>
          <w:szCs w:val="24"/>
        </w:rPr>
        <w:t>Regarding enrollment differences between men and women,</w:t>
      </w:r>
      <w:r w:rsidR="006F7CD2" w:rsidRPr="002B710B">
        <w:rPr>
          <w:rFonts w:ascii="Times New Roman" w:eastAsia="Arial Unicode MS" w:hAnsi="Times New Roman" w:cs="Times New Roman"/>
          <w:color w:val="auto"/>
          <w:sz w:val="24"/>
          <w:szCs w:val="24"/>
        </w:rPr>
        <w:t xml:space="preserve"> </w:t>
      </w:r>
      <w:r w:rsidR="007145B8" w:rsidRPr="002B710B">
        <w:rPr>
          <w:rFonts w:ascii="Times New Roman" w:eastAsia="Arial Unicode MS" w:hAnsi="Times New Roman" w:cs="Times New Roman"/>
          <w:color w:val="auto"/>
          <w:sz w:val="24"/>
          <w:szCs w:val="24"/>
        </w:rPr>
        <w:t xml:space="preserve">though </w:t>
      </w:r>
      <w:r w:rsidR="006F7CD2" w:rsidRPr="002B710B">
        <w:rPr>
          <w:rFonts w:ascii="Times New Roman" w:eastAsia="Arial Unicode MS" w:hAnsi="Times New Roman" w:cs="Times New Roman"/>
          <w:color w:val="auto"/>
          <w:sz w:val="24"/>
          <w:szCs w:val="24"/>
        </w:rPr>
        <w:t>women are significantly underrepresented in two of the three course pairs (e.g., calculus I/physics I and calculus I/computer prog</w:t>
      </w:r>
      <w:r w:rsidR="007D1EC1" w:rsidRPr="002B710B">
        <w:rPr>
          <w:rFonts w:ascii="Times New Roman" w:eastAsia="Arial Unicode MS" w:hAnsi="Times New Roman" w:cs="Times New Roman"/>
          <w:color w:val="auto"/>
          <w:sz w:val="24"/>
          <w:szCs w:val="24"/>
        </w:rPr>
        <w:t>raming), a greater proportion (2</w:t>
      </w:r>
      <w:r w:rsidR="006F7CD2" w:rsidRPr="002B710B">
        <w:rPr>
          <w:rFonts w:ascii="Times New Roman" w:eastAsia="Arial Unicode MS" w:hAnsi="Times New Roman" w:cs="Times New Roman"/>
          <w:color w:val="auto"/>
          <w:sz w:val="24"/>
          <w:szCs w:val="24"/>
        </w:rPr>
        <w:t>-10%</w:t>
      </w:r>
      <w:r w:rsidR="007145B8" w:rsidRPr="002B710B">
        <w:rPr>
          <w:rFonts w:ascii="Times New Roman" w:eastAsia="Arial Unicode MS" w:hAnsi="Times New Roman" w:cs="Times New Roman"/>
          <w:color w:val="auto"/>
          <w:sz w:val="24"/>
          <w:szCs w:val="24"/>
        </w:rPr>
        <w:t xml:space="preserve"> more</w:t>
      </w:r>
      <w:r w:rsidR="006F7CD2" w:rsidRPr="002B710B">
        <w:rPr>
          <w:rFonts w:ascii="Times New Roman" w:eastAsia="Arial Unicode MS" w:hAnsi="Times New Roman" w:cs="Times New Roman"/>
          <w:color w:val="auto"/>
          <w:sz w:val="24"/>
          <w:szCs w:val="24"/>
        </w:rPr>
        <w:t xml:space="preserve">) of the women that </w:t>
      </w:r>
      <w:r w:rsidR="007D794A">
        <w:rPr>
          <w:rFonts w:ascii="Times New Roman" w:eastAsia="Arial Unicode MS" w:hAnsi="Times New Roman" w:cs="Times New Roman"/>
          <w:color w:val="auto"/>
          <w:sz w:val="24"/>
          <w:szCs w:val="24"/>
        </w:rPr>
        <w:t>enroll</w:t>
      </w:r>
      <w:r w:rsidR="006F7CD2" w:rsidRPr="002B710B">
        <w:rPr>
          <w:rFonts w:ascii="Times New Roman" w:eastAsia="Arial Unicode MS" w:hAnsi="Times New Roman" w:cs="Times New Roman"/>
          <w:color w:val="auto"/>
          <w:sz w:val="24"/>
          <w:szCs w:val="24"/>
        </w:rPr>
        <w:t xml:space="preserve"> in those course pairs transfer than men.  However, it is interesting to note that </w:t>
      </w:r>
      <w:r w:rsidRPr="002B710B">
        <w:rPr>
          <w:rFonts w:ascii="Times New Roman" w:eastAsia="Arial Unicode MS" w:hAnsi="Times New Roman" w:cs="Times New Roman"/>
          <w:color w:val="auto"/>
          <w:sz w:val="24"/>
          <w:szCs w:val="24"/>
        </w:rPr>
        <w:t>a higher proportion of men will transfer without a credential</w:t>
      </w:r>
      <w:r w:rsidR="006F7CD2" w:rsidRPr="002B710B">
        <w:rPr>
          <w:rFonts w:ascii="Times New Roman" w:eastAsia="Arial Unicode MS" w:hAnsi="Times New Roman" w:cs="Times New Roman"/>
          <w:color w:val="auto"/>
          <w:sz w:val="24"/>
          <w:szCs w:val="24"/>
        </w:rPr>
        <w:t xml:space="preserve"> than women, whereas</w:t>
      </w:r>
      <w:r w:rsidR="007145B8" w:rsidRPr="002B710B">
        <w:rPr>
          <w:rFonts w:ascii="Times New Roman" w:eastAsia="Arial Unicode MS" w:hAnsi="Times New Roman" w:cs="Times New Roman"/>
          <w:color w:val="auto"/>
          <w:sz w:val="24"/>
          <w:szCs w:val="24"/>
        </w:rPr>
        <w:t>,</w:t>
      </w:r>
      <w:r w:rsidR="006F7CD2" w:rsidRPr="002B710B">
        <w:rPr>
          <w:rFonts w:ascii="Times New Roman" w:eastAsia="Arial Unicode MS" w:hAnsi="Times New Roman" w:cs="Times New Roman"/>
          <w:color w:val="auto"/>
          <w:sz w:val="24"/>
          <w:szCs w:val="24"/>
        </w:rPr>
        <w:t xml:space="preserve"> of the women who transfer</w:t>
      </w:r>
      <w:r w:rsidR="007145B8" w:rsidRPr="002B710B">
        <w:rPr>
          <w:rFonts w:ascii="Times New Roman" w:eastAsia="Arial Unicode MS" w:hAnsi="Times New Roman" w:cs="Times New Roman"/>
          <w:color w:val="auto"/>
          <w:sz w:val="24"/>
          <w:szCs w:val="24"/>
        </w:rPr>
        <w:t>,</w:t>
      </w:r>
      <w:r w:rsidRPr="002B710B">
        <w:rPr>
          <w:rFonts w:ascii="Times New Roman" w:eastAsia="Arial Unicode MS" w:hAnsi="Times New Roman" w:cs="Times New Roman"/>
          <w:color w:val="auto"/>
          <w:sz w:val="24"/>
          <w:szCs w:val="24"/>
        </w:rPr>
        <w:t xml:space="preserve"> a higher </w:t>
      </w:r>
      <w:r w:rsidR="006F7CD2" w:rsidRPr="002B710B">
        <w:rPr>
          <w:rFonts w:ascii="Times New Roman" w:eastAsia="Arial Unicode MS" w:hAnsi="Times New Roman" w:cs="Times New Roman"/>
          <w:color w:val="auto"/>
          <w:sz w:val="24"/>
          <w:szCs w:val="24"/>
        </w:rPr>
        <w:t xml:space="preserve">proportion of them also </w:t>
      </w:r>
      <w:r w:rsidRPr="002B710B">
        <w:rPr>
          <w:rFonts w:ascii="Times New Roman" w:eastAsia="Arial Unicode MS" w:hAnsi="Times New Roman" w:cs="Times New Roman"/>
          <w:color w:val="auto"/>
          <w:sz w:val="24"/>
          <w:szCs w:val="24"/>
        </w:rPr>
        <w:t>r</w:t>
      </w:r>
      <w:r w:rsidR="006F7CD2" w:rsidRPr="002B710B">
        <w:rPr>
          <w:rFonts w:ascii="Times New Roman" w:eastAsia="Arial Unicode MS" w:hAnsi="Times New Roman" w:cs="Times New Roman"/>
          <w:color w:val="auto"/>
          <w:sz w:val="24"/>
          <w:szCs w:val="24"/>
        </w:rPr>
        <w:t>eceive</w:t>
      </w:r>
      <w:r w:rsidRPr="002B710B">
        <w:rPr>
          <w:rFonts w:ascii="Times New Roman" w:eastAsia="Arial Unicode MS" w:hAnsi="Times New Roman" w:cs="Times New Roman"/>
          <w:color w:val="auto"/>
          <w:sz w:val="24"/>
          <w:szCs w:val="24"/>
        </w:rPr>
        <w:t xml:space="preserve"> a</w:t>
      </w:r>
      <w:r w:rsidR="006F7CD2" w:rsidRPr="002B710B">
        <w:rPr>
          <w:rFonts w:ascii="Times New Roman" w:eastAsia="Arial Unicode MS" w:hAnsi="Times New Roman" w:cs="Times New Roman"/>
          <w:color w:val="auto"/>
          <w:sz w:val="24"/>
          <w:szCs w:val="24"/>
        </w:rPr>
        <w:t xml:space="preserve"> credential</w:t>
      </w:r>
      <w:r w:rsidRPr="002B710B">
        <w:rPr>
          <w:rFonts w:ascii="Times New Roman" w:eastAsia="Arial Unicode MS" w:hAnsi="Times New Roman" w:cs="Times New Roman"/>
          <w:color w:val="auto"/>
          <w:sz w:val="24"/>
          <w:szCs w:val="24"/>
        </w:rPr>
        <w:t xml:space="preserve">.  For example, in both the calculus I/physics I and calculus I/computer programing course pairs, the </w:t>
      </w:r>
      <w:r w:rsidR="006F7CD2" w:rsidRPr="002B710B">
        <w:rPr>
          <w:rFonts w:ascii="Times New Roman" w:eastAsia="Arial Unicode MS" w:hAnsi="Times New Roman" w:cs="Times New Roman"/>
          <w:color w:val="auto"/>
          <w:sz w:val="24"/>
          <w:szCs w:val="24"/>
        </w:rPr>
        <w:t>proportion</w:t>
      </w:r>
      <w:r w:rsidRPr="002B710B">
        <w:rPr>
          <w:rFonts w:ascii="Times New Roman" w:eastAsia="Arial Unicode MS" w:hAnsi="Times New Roman" w:cs="Times New Roman"/>
          <w:color w:val="auto"/>
          <w:sz w:val="24"/>
          <w:szCs w:val="24"/>
        </w:rPr>
        <w:t xml:space="preserve"> of women who </w:t>
      </w:r>
      <w:r w:rsidR="007145B8" w:rsidRPr="002B710B">
        <w:rPr>
          <w:rFonts w:ascii="Times New Roman" w:eastAsia="Arial Unicode MS" w:hAnsi="Times New Roman" w:cs="Times New Roman"/>
          <w:color w:val="auto"/>
          <w:sz w:val="24"/>
          <w:szCs w:val="24"/>
        </w:rPr>
        <w:t xml:space="preserve">only </w:t>
      </w:r>
      <w:r w:rsidR="006F7CD2" w:rsidRPr="002B710B">
        <w:rPr>
          <w:rFonts w:ascii="Times New Roman" w:eastAsia="Arial Unicode MS" w:hAnsi="Times New Roman" w:cs="Times New Roman"/>
          <w:color w:val="auto"/>
          <w:sz w:val="24"/>
          <w:szCs w:val="24"/>
        </w:rPr>
        <w:t xml:space="preserve">transfer is 1-2% less than men, but around 10% more of the women who transfer do so with a credential.  </w:t>
      </w:r>
    </w:p>
    <w:p w14:paraId="64541218" w14:textId="19728E80" w:rsidR="00724526" w:rsidRDefault="00E27549">
      <w:pPr>
        <w:spacing w:after="0" w:line="480" w:lineRule="auto"/>
        <w:ind w:firstLine="720"/>
        <w:rPr>
          <w:rFonts w:ascii="Times New Roman" w:eastAsia="Arial Unicode MS" w:hAnsi="Times New Roman" w:cs="Times New Roman"/>
          <w:color w:val="auto"/>
          <w:sz w:val="24"/>
          <w:szCs w:val="24"/>
        </w:rPr>
      </w:pPr>
      <w:r w:rsidRPr="002B710B">
        <w:rPr>
          <w:rFonts w:ascii="Times New Roman" w:eastAsia="Arial Unicode MS" w:hAnsi="Times New Roman" w:cs="Times New Roman"/>
          <w:b/>
          <w:color w:val="auto"/>
          <w:sz w:val="24"/>
          <w:szCs w:val="24"/>
        </w:rPr>
        <w:lastRenderedPageBreak/>
        <w:t xml:space="preserve">Calculus I &amp; </w:t>
      </w:r>
      <w:r w:rsidR="00670447" w:rsidRPr="002B710B">
        <w:rPr>
          <w:rFonts w:ascii="Times New Roman" w:eastAsia="Arial Unicode MS" w:hAnsi="Times New Roman" w:cs="Times New Roman"/>
          <w:b/>
          <w:color w:val="auto"/>
          <w:sz w:val="24"/>
          <w:szCs w:val="24"/>
        </w:rPr>
        <w:t>PS&amp;E</w:t>
      </w:r>
      <w:r w:rsidRPr="002B710B">
        <w:rPr>
          <w:rFonts w:ascii="Times New Roman" w:eastAsia="Arial Unicode MS" w:hAnsi="Times New Roman" w:cs="Times New Roman"/>
          <w:b/>
          <w:color w:val="auto"/>
          <w:sz w:val="24"/>
          <w:szCs w:val="24"/>
        </w:rPr>
        <w:t xml:space="preserve"> I. </w:t>
      </w:r>
      <w:r w:rsidR="009A4CB8" w:rsidRPr="002B710B">
        <w:rPr>
          <w:rFonts w:ascii="Times New Roman" w:eastAsia="Arial Unicode MS" w:hAnsi="Times New Roman" w:cs="Times New Roman"/>
          <w:color w:val="auto"/>
          <w:sz w:val="24"/>
          <w:szCs w:val="24"/>
        </w:rPr>
        <w:t xml:space="preserve">Table 2 presents the course engagement in math and physics for students who complete calculus I and </w:t>
      </w:r>
      <w:r w:rsidR="00670447" w:rsidRPr="002B710B">
        <w:rPr>
          <w:rFonts w:ascii="Times New Roman" w:eastAsia="Arial Unicode MS" w:hAnsi="Times New Roman" w:cs="Times New Roman"/>
          <w:color w:val="auto"/>
          <w:sz w:val="24"/>
          <w:szCs w:val="24"/>
        </w:rPr>
        <w:t>PS&amp;E</w:t>
      </w:r>
      <w:r w:rsidR="002D054E">
        <w:rPr>
          <w:rFonts w:ascii="Times New Roman" w:eastAsia="Arial Unicode MS" w:hAnsi="Times New Roman" w:cs="Times New Roman"/>
          <w:color w:val="auto"/>
          <w:sz w:val="24"/>
          <w:szCs w:val="24"/>
        </w:rPr>
        <w:t xml:space="preserve"> I course pair.  This table demonstrates that e</w:t>
      </w:r>
      <w:r w:rsidR="009A4CB8" w:rsidRPr="002B710B">
        <w:rPr>
          <w:rFonts w:ascii="Times New Roman" w:eastAsia="Arial Unicode MS" w:hAnsi="Times New Roman" w:cs="Times New Roman"/>
          <w:color w:val="auto"/>
          <w:sz w:val="24"/>
          <w:szCs w:val="24"/>
        </w:rPr>
        <w:t xml:space="preserve">ight out of ten of the students who </w:t>
      </w:r>
      <w:r w:rsidR="002D054E">
        <w:rPr>
          <w:rFonts w:ascii="Times New Roman" w:eastAsia="Arial Unicode MS" w:hAnsi="Times New Roman" w:cs="Times New Roman"/>
          <w:color w:val="auto"/>
          <w:sz w:val="24"/>
          <w:szCs w:val="24"/>
        </w:rPr>
        <w:t>even attempt</w:t>
      </w:r>
      <w:r w:rsidR="009A4CB8" w:rsidRPr="002B710B">
        <w:rPr>
          <w:rFonts w:ascii="Times New Roman" w:eastAsia="Arial Unicode MS" w:hAnsi="Times New Roman" w:cs="Times New Roman"/>
          <w:color w:val="auto"/>
          <w:sz w:val="24"/>
          <w:szCs w:val="24"/>
        </w:rPr>
        <w:t xml:space="preserve"> this course pair take their first math course in trigonometry or higher</w:t>
      </w:r>
      <w:r w:rsidR="002D054E">
        <w:rPr>
          <w:rFonts w:ascii="Times New Roman" w:eastAsia="Arial Unicode MS" w:hAnsi="Times New Roman" w:cs="Times New Roman"/>
          <w:color w:val="auto"/>
          <w:sz w:val="24"/>
          <w:szCs w:val="24"/>
        </w:rPr>
        <w:t>, which means that the vast majority of the students who make it to the gateway courses required for many STEM degrees (calculus I and PS&amp;E I) did not require any remediation and placed above college algebra</w:t>
      </w:r>
      <w:r w:rsidR="009A4CB8" w:rsidRPr="002B710B">
        <w:rPr>
          <w:rFonts w:ascii="Times New Roman" w:eastAsia="Arial Unicode MS" w:hAnsi="Times New Roman" w:cs="Times New Roman"/>
          <w:color w:val="auto"/>
          <w:sz w:val="24"/>
          <w:szCs w:val="24"/>
        </w:rPr>
        <w:t xml:space="preserve">.  </w:t>
      </w:r>
      <w:r w:rsidR="002D054E">
        <w:rPr>
          <w:rFonts w:ascii="Times New Roman" w:eastAsia="Arial Unicode MS" w:hAnsi="Times New Roman" w:cs="Times New Roman"/>
          <w:color w:val="auto"/>
          <w:sz w:val="24"/>
          <w:szCs w:val="24"/>
        </w:rPr>
        <w:t xml:space="preserve">Despite starting in more advanced courses, many </w:t>
      </w:r>
      <w:r w:rsidR="009A4CB8" w:rsidRPr="002B710B">
        <w:rPr>
          <w:rFonts w:ascii="Times New Roman" w:eastAsia="Arial Unicode MS" w:hAnsi="Times New Roman" w:cs="Times New Roman"/>
          <w:color w:val="auto"/>
          <w:sz w:val="24"/>
          <w:szCs w:val="24"/>
        </w:rPr>
        <w:t>of the</w:t>
      </w:r>
      <w:r w:rsidR="002D054E">
        <w:rPr>
          <w:rFonts w:ascii="Times New Roman" w:eastAsia="Arial Unicode MS" w:hAnsi="Times New Roman" w:cs="Times New Roman"/>
          <w:color w:val="auto"/>
          <w:sz w:val="24"/>
          <w:szCs w:val="24"/>
        </w:rPr>
        <w:t>se</w:t>
      </w:r>
      <w:r w:rsidR="009A4CB8" w:rsidRPr="002B710B">
        <w:rPr>
          <w:rFonts w:ascii="Times New Roman" w:eastAsia="Arial Unicode MS" w:hAnsi="Times New Roman" w:cs="Times New Roman"/>
          <w:color w:val="auto"/>
          <w:sz w:val="24"/>
          <w:szCs w:val="24"/>
        </w:rPr>
        <w:t xml:space="preserve"> students take lower level math courses after their initial enrollment.  For example, thoug</w:t>
      </w:r>
      <w:r w:rsidR="00670447" w:rsidRPr="002B710B">
        <w:rPr>
          <w:rFonts w:ascii="Times New Roman" w:eastAsia="Arial Unicode MS" w:hAnsi="Times New Roman" w:cs="Times New Roman"/>
          <w:color w:val="auto"/>
          <w:sz w:val="24"/>
          <w:szCs w:val="24"/>
        </w:rPr>
        <w:t xml:space="preserve">h only </w:t>
      </w:r>
      <w:r w:rsidR="009A4CB8" w:rsidRPr="002B710B">
        <w:rPr>
          <w:rFonts w:ascii="Times New Roman" w:eastAsia="Arial Unicode MS" w:hAnsi="Times New Roman" w:cs="Times New Roman"/>
          <w:color w:val="auto"/>
          <w:sz w:val="24"/>
          <w:szCs w:val="24"/>
        </w:rPr>
        <w:t xml:space="preserve">5% of students that </w:t>
      </w:r>
      <w:r w:rsidR="007D794A">
        <w:rPr>
          <w:rFonts w:ascii="Times New Roman" w:eastAsia="Arial Unicode MS" w:hAnsi="Times New Roman" w:cs="Times New Roman"/>
          <w:color w:val="auto"/>
          <w:sz w:val="24"/>
          <w:szCs w:val="24"/>
        </w:rPr>
        <w:t>enroll</w:t>
      </w:r>
      <w:r w:rsidR="009A4CB8" w:rsidRPr="002B710B">
        <w:rPr>
          <w:rFonts w:ascii="Times New Roman" w:eastAsia="Arial Unicode MS" w:hAnsi="Times New Roman" w:cs="Times New Roman"/>
          <w:color w:val="auto"/>
          <w:sz w:val="24"/>
          <w:szCs w:val="24"/>
        </w:rPr>
        <w:t xml:space="preserve"> in this interdisciplinary course pair begin college math in </w:t>
      </w:r>
      <w:r w:rsidR="00670447" w:rsidRPr="002B710B">
        <w:rPr>
          <w:rFonts w:ascii="Times New Roman" w:eastAsia="Arial Unicode MS" w:hAnsi="Times New Roman" w:cs="Times New Roman"/>
          <w:color w:val="auto"/>
          <w:sz w:val="24"/>
          <w:szCs w:val="24"/>
        </w:rPr>
        <w:t>statistics</w:t>
      </w:r>
      <w:r w:rsidR="009A4CB8" w:rsidRPr="002B710B">
        <w:rPr>
          <w:rFonts w:ascii="Times New Roman" w:eastAsia="Arial Unicode MS" w:hAnsi="Times New Roman" w:cs="Times New Roman"/>
          <w:color w:val="auto"/>
          <w:sz w:val="24"/>
          <w:szCs w:val="24"/>
        </w:rPr>
        <w:t xml:space="preserve">, </w:t>
      </w:r>
      <w:r w:rsidR="00670447" w:rsidRPr="002B710B">
        <w:rPr>
          <w:rFonts w:ascii="Times New Roman" w:eastAsia="Arial Unicode MS" w:hAnsi="Times New Roman" w:cs="Times New Roman"/>
          <w:color w:val="auto"/>
          <w:sz w:val="24"/>
          <w:szCs w:val="24"/>
        </w:rPr>
        <w:t>23</w:t>
      </w:r>
      <w:r w:rsidR="009A4CB8" w:rsidRPr="002B710B">
        <w:rPr>
          <w:rFonts w:ascii="Times New Roman" w:eastAsia="Arial Unicode MS" w:hAnsi="Times New Roman" w:cs="Times New Roman"/>
          <w:color w:val="auto"/>
          <w:sz w:val="24"/>
          <w:szCs w:val="24"/>
        </w:rPr>
        <w:t>% of the students attempt this course before t</w:t>
      </w:r>
      <w:r w:rsidR="00670447" w:rsidRPr="002B710B">
        <w:rPr>
          <w:rFonts w:ascii="Times New Roman" w:eastAsia="Arial Unicode MS" w:hAnsi="Times New Roman" w:cs="Times New Roman"/>
          <w:color w:val="auto"/>
          <w:sz w:val="24"/>
          <w:szCs w:val="24"/>
        </w:rPr>
        <w:t>hey leave the community college and</w:t>
      </w:r>
      <w:r w:rsidR="00F335AC" w:rsidRPr="002B710B">
        <w:rPr>
          <w:rFonts w:ascii="Times New Roman" w:eastAsia="Arial Unicode MS" w:hAnsi="Times New Roman" w:cs="Times New Roman"/>
          <w:color w:val="auto"/>
          <w:sz w:val="24"/>
          <w:szCs w:val="24"/>
        </w:rPr>
        <w:t>,</w:t>
      </w:r>
      <w:r w:rsidR="00670447" w:rsidRPr="002B710B">
        <w:rPr>
          <w:rFonts w:ascii="Times New Roman" w:eastAsia="Arial Unicode MS" w:hAnsi="Times New Roman" w:cs="Times New Roman"/>
          <w:color w:val="auto"/>
          <w:sz w:val="24"/>
          <w:szCs w:val="24"/>
        </w:rPr>
        <w:t xml:space="preserve"> for 11% of students</w:t>
      </w:r>
      <w:r w:rsidR="00F335AC" w:rsidRPr="002B710B">
        <w:rPr>
          <w:rFonts w:ascii="Times New Roman" w:eastAsia="Arial Unicode MS" w:hAnsi="Times New Roman" w:cs="Times New Roman"/>
          <w:color w:val="auto"/>
          <w:sz w:val="24"/>
          <w:szCs w:val="24"/>
        </w:rPr>
        <w:t>,</w:t>
      </w:r>
      <w:r w:rsidR="00670447" w:rsidRPr="002B710B">
        <w:rPr>
          <w:rFonts w:ascii="Times New Roman" w:eastAsia="Arial Unicode MS" w:hAnsi="Times New Roman" w:cs="Times New Roman"/>
          <w:color w:val="auto"/>
          <w:sz w:val="24"/>
          <w:szCs w:val="24"/>
        </w:rPr>
        <w:t xml:space="preserve"> that is their final enrollment in </w:t>
      </w:r>
      <w:r w:rsidR="005F7821">
        <w:rPr>
          <w:rFonts w:ascii="Times New Roman" w:eastAsia="Arial Unicode MS" w:hAnsi="Times New Roman" w:cs="Times New Roman"/>
          <w:color w:val="auto"/>
          <w:sz w:val="24"/>
          <w:szCs w:val="24"/>
        </w:rPr>
        <w:t>college-level</w:t>
      </w:r>
      <w:r w:rsidR="00670447" w:rsidRPr="002B710B">
        <w:rPr>
          <w:rFonts w:ascii="Times New Roman" w:eastAsia="Arial Unicode MS" w:hAnsi="Times New Roman" w:cs="Times New Roman"/>
          <w:color w:val="auto"/>
          <w:sz w:val="24"/>
          <w:szCs w:val="24"/>
        </w:rPr>
        <w:t xml:space="preserve"> math.  A similar finding is apparent for physics.  Around 74% of the students who take both calculus I and PS&amp;E</w:t>
      </w:r>
      <w:r w:rsidR="000C31AD">
        <w:rPr>
          <w:rFonts w:ascii="Times New Roman" w:eastAsia="Arial Unicode MS" w:hAnsi="Times New Roman" w:cs="Times New Roman"/>
          <w:color w:val="auto"/>
          <w:sz w:val="24"/>
          <w:szCs w:val="24"/>
        </w:rPr>
        <w:t xml:space="preserve"> </w:t>
      </w:r>
      <w:r w:rsidR="00670447" w:rsidRPr="002B710B">
        <w:rPr>
          <w:rFonts w:ascii="Times New Roman" w:eastAsia="Arial Unicode MS" w:hAnsi="Times New Roman" w:cs="Times New Roman"/>
          <w:color w:val="auto"/>
          <w:sz w:val="24"/>
          <w:szCs w:val="24"/>
        </w:rPr>
        <w:t>I begin their enrollment in PS&amp;E</w:t>
      </w:r>
      <w:r w:rsidR="00F335AC" w:rsidRPr="002B710B">
        <w:rPr>
          <w:rFonts w:ascii="Times New Roman" w:eastAsia="Arial Unicode MS" w:hAnsi="Times New Roman" w:cs="Times New Roman"/>
          <w:color w:val="auto"/>
          <w:sz w:val="24"/>
          <w:szCs w:val="24"/>
        </w:rPr>
        <w:t xml:space="preserve"> </w:t>
      </w:r>
      <w:r w:rsidR="00670447" w:rsidRPr="002B710B">
        <w:rPr>
          <w:rFonts w:ascii="Times New Roman" w:eastAsia="Arial Unicode MS" w:hAnsi="Times New Roman" w:cs="Times New Roman"/>
          <w:color w:val="auto"/>
          <w:sz w:val="24"/>
          <w:szCs w:val="24"/>
        </w:rPr>
        <w:t xml:space="preserve">I, skipping the introductory physics course.  </w:t>
      </w:r>
      <w:r w:rsidR="002D054E">
        <w:rPr>
          <w:rFonts w:ascii="Times New Roman" w:eastAsia="Arial Unicode MS" w:hAnsi="Times New Roman" w:cs="Times New Roman"/>
          <w:color w:val="auto"/>
          <w:sz w:val="24"/>
          <w:szCs w:val="24"/>
        </w:rPr>
        <w:t xml:space="preserve"> Thus, many of these students appear to be taking courses that are not required for STEM majors, despite taking the critical gateway courses and they are doing it after attempting the critical combination.</w:t>
      </w:r>
      <w:r w:rsidR="009A4CB8" w:rsidRPr="002B710B">
        <w:rPr>
          <w:rFonts w:ascii="Times New Roman" w:eastAsia="Arial Unicode MS" w:hAnsi="Times New Roman" w:cs="Times New Roman"/>
          <w:color w:val="auto"/>
          <w:sz w:val="24"/>
          <w:szCs w:val="24"/>
        </w:rPr>
        <w:t xml:space="preserve">  </w:t>
      </w:r>
    </w:p>
    <w:p w14:paraId="0846FDC3" w14:textId="77777777" w:rsidR="00724526" w:rsidRDefault="00702EB4">
      <w:pPr>
        <w:spacing w:after="0" w:line="480" w:lineRule="auto"/>
        <w:jc w:val="center"/>
        <w:rPr>
          <w:rFonts w:ascii="Times New Roman" w:eastAsia="Arial Unicode MS" w:hAnsi="Times New Roman" w:cs="Times New Roman"/>
          <w:color w:val="auto"/>
          <w:sz w:val="24"/>
          <w:szCs w:val="24"/>
        </w:rPr>
      </w:pPr>
      <w:r>
        <w:rPr>
          <w:rFonts w:ascii="Times New Roman" w:eastAsia="Arial Unicode MS" w:hAnsi="Times New Roman" w:cs="Times New Roman"/>
          <w:color w:val="auto"/>
          <w:sz w:val="24"/>
          <w:szCs w:val="24"/>
        </w:rPr>
        <w:t>[</w:t>
      </w:r>
      <w:r w:rsidR="009A4CB8" w:rsidRPr="002B710B">
        <w:rPr>
          <w:rFonts w:ascii="Times New Roman" w:eastAsia="Arial Unicode MS" w:hAnsi="Times New Roman" w:cs="Times New Roman"/>
          <w:color w:val="auto"/>
          <w:sz w:val="24"/>
          <w:szCs w:val="24"/>
        </w:rPr>
        <w:t xml:space="preserve">Insert </w:t>
      </w:r>
      <w:r w:rsidR="00670447" w:rsidRPr="002B710B">
        <w:rPr>
          <w:rFonts w:ascii="Times New Roman" w:eastAsia="Arial Unicode MS" w:hAnsi="Times New Roman" w:cs="Times New Roman"/>
          <w:color w:val="auto"/>
          <w:sz w:val="24"/>
          <w:szCs w:val="24"/>
        </w:rPr>
        <w:t>Table 2</w:t>
      </w:r>
      <w:r w:rsidR="009A4CB8" w:rsidRPr="002B710B">
        <w:rPr>
          <w:rFonts w:ascii="Times New Roman" w:eastAsia="Arial Unicode MS" w:hAnsi="Times New Roman" w:cs="Times New Roman"/>
          <w:color w:val="auto"/>
          <w:sz w:val="24"/>
          <w:szCs w:val="24"/>
        </w:rPr>
        <w:t xml:space="preserve"> about here</w:t>
      </w:r>
      <w:r>
        <w:rPr>
          <w:rFonts w:ascii="Times New Roman" w:eastAsia="Arial Unicode MS" w:hAnsi="Times New Roman" w:cs="Times New Roman"/>
          <w:color w:val="auto"/>
          <w:sz w:val="24"/>
          <w:szCs w:val="24"/>
        </w:rPr>
        <w:t>]</w:t>
      </w:r>
    </w:p>
    <w:p w14:paraId="2681C98E" w14:textId="77777777" w:rsidR="00724526" w:rsidRDefault="00670447">
      <w:pPr>
        <w:spacing w:after="0" w:line="480" w:lineRule="auto"/>
        <w:ind w:firstLine="720"/>
        <w:rPr>
          <w:rFonts w:ascii="Times New Roman" w:eastAsia="Arial Unicode MS" w:hAnsi="Times New Roman" w:cs="Times New Roman"/>
          <w:color w:val="auto"/>
          <w:sz w:val="24"/>
          <w:szCs w:val="24"/>
        </w:rPr>
      </w:pPr>
      <w:r w:rsidRPr="002B710B">
        <w:rPr>
          <w:rFonts w:ascii="Times New Roman" w:eastAsia="Arial Unicode MS" w:hAnsi="Times New Roman" w:cs="Times New Roman"/>
          <w:color w:val="auto"/>
          <w:sz w:val="24"/>
          <w:szCs w:val="24"/>
        </w:rPr>
        <w:t>Likely the most notable finding for these students is that</w:t>
      </w:r>
      <w:r w:rsidR="00F335AC" w:rsidRPr="002B710B">
        <w:rPr>
          <w:rFonts w:ascii="Times New Roman" w:eastAsia="Arial Unicode MS" w:hAnsi="Times New Roman" w:cs="Times New Roman"/>
          <w:color w:val="auto"/>
          <w:sz w:val="24"/>
          <w:szCs w:val="24"/>
        </w:rPr>
        <w:t>,</w:t>
      </w:r>
      <w:r w:rsidRPr="002B710B">
        <w:rPr>
          <w:rFonts w:ascii="Times New Roman" w:eastAsia="Arial Unicode MS" w:hAnsi="Times New Roman" w:cs="Times New Roman"/>
          <w:color w:val="auto"/>
          <w:sz w:val="24"/>
          <w:szCs w:val="24"/>
        </w:rPr>
        <w:t xml:space="preserve"> for 37% of them, PS&amp;E I is there final enrollment in physics, while 67% move through the calculus series to calculus III. This is noteworthy, because for most engineering fields, PS&amp;E II and PS&amp;E III are required.  Only 36% of these students even attempt PS&amp;E III and barely half (54%) attempt PS&amp;E II.  </w:t>
      </w:r>
    </w:p>
    <w:p w14:paraId="5C1E0A67" w14:textId="77777777" w:rsidR="00724526" w:rsidRDefault="007778A6">
      <w:pPr>
        <w:spacing w:after="0" w:line="480" w:lineRule="auto"/>
        <w:ind w:firstLine="720"/>
        <w:rPr>
          <w:rFonts w:ascii="Times New Roman" w:eastAsia="Arial Unicode MS" w:hAnsi="Times New Roman" w:cs="Times New Roman"/>
          <w:color w:val="auto"/>
          <w:sz w:val="24"/>
          <w:szCs w:val="24"/>
        </w:rPr>
      </w:pPr>
      <w:r w:rsidRPr="002B710B">
        <w:rPr>
          <w:rFonts w:ascii="Times New Roman" w:eastAsia="Arial Unicode MS" w:hAnsi="Times New Roman" w:cs="Times New Roman"/>
          <w:color w:val="auto"/>
          <w:sz w:val="24"/>
          <w:szCs w:val="24"/>
        </w:rPr>
        <w:t>I</w:t>
      </w:r>
      <w:r w:rsidR="005F7821">
        <w:rPr>
          <w:rFonts w:ascii="Times New Roman" w:eastAsia="Arial Unicode MS" w:hAnsi="Times New Roman" w:cs="Times New Roman"/>
          <w:color w:val="auto"/>
          <w:sz w:val="24"/>
          <w:szCs w:val="24"/>
        </w:rPr>
        <w:t>n Figure 2</w:t>
      </w:r>
      <w:r w:rsidRPr="002B710B">
        <w:rPr>
          <w:rFonts w:ascii="Times New Roman" w:eastAsia="Arial Unicode MS" w:hAnsi="Times New Roman" w:cs="Times New Roman"/>
          <w:color w:val="auto"/>
          <w:sz w:val="24"/>
          <w:szCs w:val="24"/>
        </w:rPr>
        <w:t xml:space="preserve">, one observes the </w:t>
      </w:r>
      <w:r w:rsidR="0019553D" w:rsidRPr="002B710B">
        <w:rPr>
          <w:rFonts w:ascii="Times New Roman" w:eastAsia="Arial Unicode MS" w:hAnsi="Times New Roman" w:cs="Times New Roman"/>
          <w:color w:val="auto"/>
          <w:sz w:val="24"/>
          <w:szCs w:val="24"/>
        </w:rPr>
        <w:t>course-taking</w:t>
      </w:r>
      <w:r w:rsidRPr="002B710B">
        <w:rPr>
          <w:rFonts w:ascii="Times New Roman" w:eastAsia="Arial Unicode MS" w:hAnsi="Times New Roman" w:cs="Times New Roman"/>
          <w:color w:val="auto"/>
          <w:sz w:val="24"/>
          <w:szCs w:val="24"/>
        </w:rPr>
        <w:t xml:space="preserve"> behaviors and subsequent outcomes for students who attempt calculus I and </w:t>
      </w:r>
      <w:r w:rsidR="00670447" w:rsidRPr="002B710B">
        <w:rPr>
          <w:rFonts w:ascii="Times New Roman" w:eastAsia="Arial Unicode MS" w:hAnsi="Times New Roman" w:cs="Times New Roman"/>
          <w:color w:val="auto"/>
          <w:sz w:val="24"/>
          <w:szCs w:val="24"/>
        </w:rPr>
        <w:t>PS&amp;E</w:t>
      </w:r>
      <w:r w:rsidRPr="002B710B">
        <w:rPr>
          <w:rFonts w:ascii="Times New Roman" w:eastAsia="Arial Unicode MS" w:hAnsi="Times New Roman" w:cs="Times New Roman"/>
          <w:color w:val="auto"/>
          <w:sz w:val="24"/>
          <w:szCs w:val="24"/>
        </w:rPr>
        <w:t xml:space="preserve"> I. Of note, 90% of the students who take this course pair attempt calculus I before they attempt </w:t>
      </w:r>
      <w:r w:rsidR="00670447" w:rsidRPr="002B710B">
        <w:rPr>
          <w:rFonts w:ascii="Times New Roman" w:eastAsia="Arial Unicode MS" w:hAnsi="Times New Roman" w:cs="Times New Roman"/>
          <w:color w:val="auto"/>
          <w:sz w:val="24"/>
          <w:szCs w:val="24"/>
        </w:rPr>
        <w:t xml:space="preserve">PS&amp;E </w:t>
      </w:r>
      <w:r w:rsidRPr="002B710B">
        <w:rPr>
          <w:rFonts w:ascii="Times New Roman" w:eastAsia="Arial Unicode MS" w:hAnsi="Times New Roman" w:cs="Times New Roman"/>
          <w:color w:val="auto"/>
          <w:sz w:val="24"/>
          <w:szCs w:val="24"/>
        </w:rPr>
        <w:t xml:space="preserve">I.  We also find that attempting calculus I first has the results in the highest success rates in both calculus I (78%) and in </w:t>
      </w:r>
      <w:r w:rsidR="00670447" w:rsidRPr="002B710B">
        <w:rPr>
          <w:rFonts w:ascii="Times New Roman" w:eastAsia="Arial Unicode MS" w:hAnsi="Times New Roman" w:cs="Times New Roman"/>
          <w:color w:val="auto"/>
          <w:sz w:val="24"/>
          <w:szCs w:val="24"/>
        </w:rPr>
        <w:t xml:space="preserve">PS&amp;E </w:t>
      </w:r>
      <w:r w:rsidRPr="002B710B">
        <w:rPr>
          <w:rFonts w:ascii="Times New Roman" w:eastAsia="Arial Unicode MS" w:hAnsi="Times New Roman" w:cs="Times New Roman"/>
          <w:color w:val="auto"/>
          <w:sz w:val="24"/>
          <w:szCs w:val="24"/>
        </w:rPr>
        <w:t xml:space="preserve">I (69%), </w:t>
      </w:r>
      <w:r w:rsidRPr="002B710B">
        <w:rPr>
          <w:rFonts w:ascii="Times New Roman" w:eastAsia="Arial Unicode MS" w:hAnsi="Times New Roman" w:cs="Times New Roman"/>
          <w:color w:val="auto"/>
          <w:sz w:val="24"/>
          <w:szCs w:val="24"/>
        </w:rPr>
        <w:lastRenderedPageBreak/>
        <w:t>whereas, attempting physics I first has the lowest success rates in both physics I (41%) and calculus I (68%).  The success rates of physics are especially volatile when considering the order in which students take these two interdisciplinary courses.  The success rate for students in calculus I drops a small 6% if students take these two courses simultaneously, but the success rate in physics declines a full 10%, and declines an additional 18% when students opt to atte</w:t>
      </w:r>
      <w:r w:rsidR="009A4CB8" w:rsidRPr="002B710B">
        <w:rPr>
          <w:rFonts w:ascii="Times New Roman" w:eastAsia="Arial Unicode MS" w:hAnsi="Times New Roman" w:cs="Times New Roman"/>
          <w:color w:val="auto"/>
          <w:sz w:val="24"/>
          <w:szCs w:val="24"/>
        </w:rPr>
        <w:t>mpt physics before calculus I. Regardless of the order in which students take these two courses, the success rates for historically disadvantaged students are around 10% lower than their historically advantaged.</w:t>
      </w:r>
    </w:p>
    <w:p w14:paraId="0781E5A4" w14:textId="77777777" w:rsidR="00724526" w:rsidRDefault="00702EB4">
      <w:pPr>
        <w:spacing w:after="0" w:line="480" w:lineRule="auto"/>
        <w:jc w:val="center"/>
        <w:rPr>
          <w:rFonts w:ascii="Times New Roman" w:eastAsia="Arial Unicode MS" w:hAnsi="Times New Roman" w:cs="Times New Roman"/>
          <w:color w:val="auto"/>
          <w:sz w:val="24"/>
          <w:szCs w:val="24"/>
        </w:rPr>
      </w:pPr>
      <w:r>
        <w:rPr>
          <w:rFonts w:ascii="Times New Roman" w:eastAsia="Arial Unicode MS" w:hAnsi="Times New Roman" w:cs="Times New Roman"/>
          <w:color w:val="auto"/>
          <w:sz w:val="24"/>
          <w:szCs w:val="24"/>
        </w:rPr>
        <w:t>[</w:t>
      </w:r>
      <w:r w:rsidR="005F7821">
        <w:rPr>
          <w:rFonts w:ascii="Times New Roman" w:eastAsia="Arial Unicode MS" w:hAnsi="Times New Roman" w:cs="Times New Roman"/>
          <w:color w:val="auto"/>
          <w:sz w:val="24"/>
          <w:szCs w:val="24"/>
        </w:rPr>
        <w:t>Insert Figure 2</w:t>
      </w:r>
      <w:r w:rsidR="009A4CB8" w:rsidRPr="002B710B">
        <w:rPr>
          <w:rFonts w:ascii="Times New Roman" w:eastAsia="Arial Unicode MS" w:hAnsi="Times New Roman" w:cs="Times New Roman"/>
          <w:color w:val="auto"/>
          <w:sz w:val="24"/>
          <w:szCs w:val="24"/>
        </w:rPr>
        <w:t xml:space="preserve"> about here</w:t>
      </w:r>
      <w:r>
        <w:rPr>
          <w:rFonts w:ascii="Times New Roman" w:eastAsia="Arial Unicode MS" w:hAnsi="Times New Roman" w:cs="Times New Roman"/>
          <w:color w:val="auto"/>
          <w:sz w:val="24"/>
          <w:szCs w:val="24"/>
        </w:rPr>
        <w:t>]</w:t>
      </w:r>
    </w:p>
    <w:p w14:paraId="1D537E5A" w14:textId="77777777" w:rsidR="00724526" w:rsidRDefault="007778A6">
      <w:pPr>
        <w:spacing w:after="0" w:line="480" w:lineRule="auto"/>
        <w:ind w:firstLine="720"/>
        <w:rPr>
          <w:rFonts w:ascii="Times New Roman" w:eastAsia="Arial Unicode MS" w:hAnsi="Times New Roman" w:cs="Times New Roman"/>
          <w:color w:val="auto"/>
          <w:sz w:val="24"/>
          <w:szCs w:val="24"/>
        </w:rPr>
      </w:pPr>
      <w:r w:rsidRPr="002B710B">
        <w:rPr>
          <w:rFonts w:ascii="Times New Roman" w:eastAsia="Arial Unicode MS" w:hAnsi="Times New Roman" w:cs="Times New Roman"/>
          <w:color w:val="auto"/>
          <w:sz w:val="24"/>
          <w:szCs w:val="24"/>
        </w:rPr>
        <w:t>A similar result occurs when analyzing the outcomes of course</w:t>
      </w:r>
      <w:r w:rsidR="00F335AC" w:rsidRPr="002B710B">
        <w:rPr>
          <w:rFonts w:ascii="Times New Roman" w:eastAsia="Arial Unicode MS" w:hAnsi="Times New Roman" w:cs="Times New Roman"/>
          <w:color w:val="auto"/>
          <w:sz w:val="24"/>
          <w:szCs w:val="24"/>
        </w:rPr>
        <w:t>-</w:t>
      </w:r>
      <w:r w:rsidRPr="002B710B">
        <w:rPr>
          <w:rFonts w:ascii="Times New Roman" w:eastAsia="Arial Unicode MS" w:hAnsi="Times New Roman" w:cs="Times New Roman"/>
          <w:color w:val="auto"/>
          <w:sz w:val="24"/>
          <w:szCs w:val="24"/>
        </w:rPr>
        <w:t>taking decisions.  There is no substantial difference between student outcomes between the students who take calculus first and the students who take the two courses simultaneously.  However, for the students who take physics before calculus, 1</w:t>
      </w:r>
      <w:r w:rsidR="00F335AC" w:rsidRPr="002B710B">
        <w:rPr>
          <w:rFonts w:ascii="Times New Roman" w:eastAsia="Arial Unicode MS" w:hAnsi="Times New Roman" w:cs="Times New Roman"/>
          <w:color w:val="auto"/>
          <w:sz w:val="24"/>
          <w:szCs w:val="24"/>
        </w:rPr>
        <w:t>3</w:t>
      </w:r>
      <w:r w:rsidRPr="002B710B">
        <w:rPr>
          <w:rFonts w:ascii="Times New Roman" w:eastAsia="Arial Unicode MS" w:hAnsi="Times New Roman" w:cs="Times New Roman"/>
          <w:color w:val="auto"/>
          <w:sz w:val="24"/>
          <w:szCs w:val="24"/>
        </w:rPr>
        <w:t xml:space="preserve">% more depart the community college with neither a credential </w:t>
      </w:r>
      <w:r w:rsidR="00480356" w:rsidRPr="002B710B">
        <w:rPr>
          <w:rFonts w:ascii="Times New Roman" w:eastAsia="Arial Unicode MS" w:hAnsi="Times New Roman" w:cs="Times New Roman"/>
          <w:color w:val="auto"/>
          <w:sz w:val="24"/>
          <w:szCs w:val="24"/>
        </w:rPr>
        <w:t>nor transferring</w:t>
      </w:r>
      <w:r w:rsidRPr="002B710B">
        <w:rPr>
          <w:rFonts w:ascii="Times New Roman" w:eastAsia="Arial Unicode MS" w:hAnsi="Times New Roman" w:cs="Times New Roman"/>
          <w:color w:val="auto"/>
          <w:sz w:val="24"/>
          <w:szCs w:val="24"/>
        </w:rPr>
        <w:t xml:space="preserve"> to a four-year institution. </w:t>
      </w:r>
    </w:p>
    <w:p w14:paraId="2722F7E5" w14:textId="77777777" w:rsidR="00724526" w:rsidRDefault="00995D85">
      <w:pPr>
        <w:spacing w:after="0" w:line="480" w:lineRule="auto"/>
        <w:ind w:firstLine="720"/>
        <w:rPr>
          <w:rFonts w:ascii="Times New Roman" w:eastAsia="Arial Unicode MS" w:hAnsi="Times New Roman" w:cs="Times New Roman"/>
          <w:color w:val="auto"/>
          <w:sz w:val="24"/>
          <w:szCs w:val="24"/>
        </w:rPr>
      </w:pPr>
      <w:r w:rsidRPr="002B710B">
        <w:rPr>
          <w:rFonts w:ascii="Times New Roman" w:eastAsia="Arial Unicode MS" w:hAnsi="Times New Roman" w:cs="Times New Roman"/>
          <w:b/>
          <w:color w:val="auto"/>
          <w:sz w:val="24"/>
          <w:szCs w:val="24"/>
        </w:rPr>
        <w:t xml:space="preserve">General </w:t>
      </w:r>
      <w:r w:rsidR="00E27549" w:rsidRPr="002B710B">
        <w:rPr>
          <w:rFonts w:ascii="Times New Roman" w:eastAsia="Arial Unicode MS" w:hAnsi="Times New Roman" w:cs="Times New Roman"/>
          <w:b/>
          <w:color w:val="auto"/>
          <w:sz w:val="24"/>
          <w:szCs w:val="24"/>
        </w:rPr>
        <w:t>Biology I &amp; General Chemistry I.</w:t>
      </w:r>
      <w:r w:rsidR="00E27549" w:rsidRPr="002B710B">
        <w:rPr>
          <w:rFonts w:ascii="Times New Roman" w:eastAsia="Arial Unicode MS" w:hAnsi="Times New Roman" w:cs="Times New Roman"/>
          <w:color w:val="auto"/>
          <w:sz w:val="24"/>
          <w:szCs w:val="24"/>
        </w:rPr>
        <w:t xml:space="preserve"> </w:t>
      </w:r>
      <w:r w:rsidR="00870C05" w:rsidRPr="002B710B">
        <w:rPr>
          <w:rFonts w:ascii="Times New Roman" w:eastAsia="Arial Unicode MS" w:hAnsi="Times New Roman" w:cs="Times New Roman"/>
          <w:color w:val="auto"/>
          <w:sz w:val="24"/>
          <w:szCs w:val="24"/>
        </w:rPr>
        <w:t>Similar</w:t>
      </w:r>
      <w:r w:rsidRPr="002B710B">
        <w:rPr>
          <w:rFonts w:ascii="Times New Roman" w:eastAsia="Arial Unicode MS" w:hAnsi="Times New Roman" w:cs="Times New Roman"/>
          <w:color w:val="auto"/>
          <w:sz w:val="24"/>
          <w:szCs w:val="24"/>
        </w:rPr>
        <w:t xml:space="preserve"> to calculus I and PS&amp;E I, of the </w:t>
      </w:r>
      <w:r w:rsidR="00870C05" w:rsidRPr="002B710B">
        <w:rPr>
          <w:rFonts w:ascii="Times New Roman" w:eastAsia="Arial Unicode MS" w:hAnsi="Times New Roman" w:cs="Times New Roman"/>
          <w:color w:val="auto"/>
          <w:sz w:val="24"/>
          <w:szCs w:val="24"/>
        </w:rPr>
        <w:t>33,534</w:t>
      </w:r>
      <w:r w:rsidRPr="002B710B">
        <w:rPr>
          <w:rFonts w:ascii="Times New Roman" w:eastAsia="Arial Unicode MS" w:hAnsi="Times New Roman" w:cs="Times New Roman"/>
          <w:color w:val="auto"/>
          <w:sz w:val="24"/>
          <w:szCs w:val="24"/>
        </w:rPr>
        <w:t xml:space="preserve"> students who</w:t>
      </w:r>
      <w:r w:rsidR="00870C05" w:rsidRPr="002B710B">
        <w:rPr>
          <w:rFonts w:ascii="Times New Roman" w:eastAsia="Arial Unicode MS" w:hAnsi="Times New Roman" w:cs="Times New Roman"/>
          <w:color w:val="auto"/>
          <w:sz w:val="24"/>
          <w:szCs w:val="24"/>
        </w:rPr>
        <w:t xml:space="preserve"> attempt general biology I and general c</w:t>
      </w:r>
      <w:r w:rsidRPr="002B710B">
        <w:rPr>
          <w:rFonts w:ascii="Times New Roman" w:eastAsia="Arial Unicode MS" w:hAnsi="Times New Roman" w:cs="Times New Roman"/>
          <w:color w:val="auto"/>
          <w:sz w:val="24"/>
          <w:szCs w:val="24"/>
        </w:rPr>
        <w:t>hemistry I,</w:t>
      </w:r>
      <w:r w:rsidR="00870C05" w:rsidRPr="002B710B">
        <w:rPr>
          <w:rFonts w:ascii="Times New Roman" w:eastAsia="Arial Unicode MS" w:hAnsi="Times New Roman" w:cs="Times New Roman"/>
          <w:color w:val="auto"/>
          <w:sz w:val="24"/>
          <w:szCs w:val="24"/>
        </w:rPr>
        <w:t xml:space="preserve"> the first course of enrollment in chemistry is general chemistry I</w:t>
      </w:r>
      <w:r w:rsidRPr="002B710B">
        <w:rPr>
          <w:rFonts w:ascii="Times New Roman" w:eastAsia="Arial Unicode MS" w:hAnsi="Times New Roman" w:cs="Times New Roman"/>
          <w:color w:val="auto"/>
          <w:sz w:val="24"/>
          <w:szCs w:val="24"/>
        </w:rPr>
        <w:t xml:space="preserve"> </w:t>
      </w:r>
      <w:r w:rsidR="00C60634" w:rsidRPr="002B710B">
        <w:rPr>
          <w:rFonts w:ascii="Times New Roman" w:eastAsia="Arial Unicode MS" w:hAnsi="Times New Roman" w:cs="Times New Roman"/>
          <w:color w:val="auto"/>
          <w:sz w:val="24"/>
          <w:szCs w:val="24"/>
        </w:rPr>
        <w:t>(</w:t>
      </w:r>
      <w:r w:rsidR="00870C05" w:rsidRPr="002B710B">
        <w:rPr>
          <w:rFonts w:ascii="Times New Roman" w:eastAsia="Arial Unicode MS" w:hAnsi="Times New Roman" w:cs="Times New Roman"/>
          <w:color w:val="auto"/>
          <w:sz w:val="24"/>
          <w:szCs w:val="24"/>
        </w:rPr>
        <w:t>42</w:t>
      </w:r>
      <w:r w:rsidRPr="002B710B">
        <w:rPr>
          <w:rFonts w:ascii="Times New Roman" w:eastAsia="Arial Unicode MS" w:hAnsi="Times New Roman" w:cs="Times New Roman"/>
          <w:color w:val="auto"/>
          <w:sz w:val="24"/>
          <w:szCs w:val="24"/>
        </w:rPr>
        <w:t>%</w:t>
      </w:r>
      <w:r w:rsidR="00C60634" w:rsidRPr="002B710B">
        <w:rPr>
          <w:rFonts w:ascii="Times New Roman" w:eastAsia="Arial Unicode MS" w:hAnsi="Times New Roman" w:cs="Times New Roman"/>
          <w:color w:val="auto"/>
          <w:sz w:val="24"/>
          <w:szCs w:val="24"/>
        </w:rPr>
        <w:t>)</w:t>
      </w:r>
      <w:r w:rsidR="00870C05" w:rsidRPr="002B710B">
        <w:rPr>
          <w:rFonts w:ascii="Times New Roman" w:eastAsia="Arial Unicode MS" w:hAnsi="Times New Roman" w:cs="Times New Roman"/>
          <w:color w:val="auto"/>
          <w:sz w:val="24"/>
          <w:szCs w:val="24"/>
        </w:rPr>
        <w:t xml:space="preserve"> and the first course of enrollment in biology is general biology I for 64% of these students (see Table 3). </w:t>
      </w:r>
      <w:r w:rsidRPr="002B710B">
        <w:rPr>
          <w:rFonts w:ascii="Times New Roman" w:eastAsia="Arial Unicode MS" w:hAnsi="Times New Roman" w:cs="Times New Roman"/>
          <w:color w:val="auto"/>
          <w:sz w:val="24"/>
          <w:szCs w:val="24"/>
        </w:rPr>
        <w:t xml:space="preserve"> </w:t>
      </w:r>
      <w:r w:rsidR="00870C05" w:rsidRPr="002B710B">
        <w:rPr>
          <w:rFonts w:ascii="Times New Roman" w:eastAsia="Arial Unicode MS" w:hAnsi="Times New Roman" w:cs="Times New Roman"/>
          <w:color w:val="auto"/>
          <w:sz w:val="24"/>
          <w:szCs w:val="24"/>
        </w:rPr>
        <w:t>In addition, we</w:t>
      </w:r>
      <w:r w:rsidRPr="002B710B">
        <w:rPr>
          <w:rFonts w:ascii="Times New Roman" w:eastAsia="Arial Unicode MS" w:hAnsi="Times New Roman" w:cs="Times New Roman"/>
          <w:color w:val="auto"/>
          <w:sz w:val="24"/>
          <w:szCs w:val="24"/>
        </w:rPr>
        <w:t xml:space="preserve"> see a surprising number of students who start at an </w:t>
      </w:r>
      <w:r w:rsidR="00401A6B" w:rsidRPr="002B710B">
        <w:rPr>
          <w:rFonts w:ascii="Times New Roman" w:eastAsia="Arial Unicode MS" w:hAnsi="Times New Roman" w:cs="Times New Roman"/>
          <w:color w:val="auto"/>
          <w:sz w:val="24"/>
          <w:szCs w:val="24"/>
        </w:rPr>
        <w:t>advanced</w:t>
      </w:r>
      <w:r w:rsidRPr="002B710B">
        <w:rPr>
          <w:rFonts w:ascii="Times New Roman" w:eastAsia="Arial Unicode MS" w:hAnsi="Times New Roman" w:cs="Times New Roman"/>
          <w:color w:val="auto"/>
          <w:sz w:val="24"/>
          <w:szCs w:val="24"/>
        </w:rPr>
        <w:t xml:space="preserve"> course and still end up enrolling in lower level courses.  For example, </w:t>
      </w:r>
      <w:r w:rsidR="00870C05" w:rsidRPr="002B710B">
        <w:rPr>
          <w:rFonts w:ascii="Times New Roman" w:eastAsia="Arial Unicode MS" w:hAnsi="Times New Roman" w:cs="Times New Roman"/>
          <w:color w:val="auto"/>
          <w:sz w:val="24"/>
          <w:szCs w:val="24"/>
        </w:rPr>
        <w:t>only 51% of these students first enrollment is introductory chemistry, a typical prerequisite to general chemistry I, but 72% of these students enroll in introductory chemistry.</w:t>
      </w:r>
    </w:p>
    <w:p w14:paraId="038CE4B0" w14:textId="77777777" w:rsidR="00724526" w:rsidRDefault="00702EB4">
      <w:pPr>
        <w:spacing w:after="0" w:line="480" w:lineRule="auto"/>
        <w:jc w:val="center"/>
        <w:rPr>
          <w:rFonts w:ascii="Times New Roman" w:eastAsia="Arial Unicode MS" w:hAnsi="Times New Roman" w:cs="Times New Roman"/>
          <w:color w:val="auto"/>
          <w:sz w:val="24"/>
          <w:szCs w:val="24"/>
        </w:rPr>
      </w:pPr>
      <w:r>
        <w:rPr>
          <w:rFonts w:ascii="Times New Roman" w:eastAsia="Arial Unicode MS" w:hAnsi="Times New Roman" w:cs="Times New Roman"/>
          <w:color w:val="auto"/>
          <w:sz w:val="24"/>
          <w:szCs w:val="24"/>
        </w:rPr>
        <w:t>[</w:t>
      </w:r>
      <w:r w:rsidR="002E25A0" w:rsidRPr="002B710B">
        <w:rPr>
          <w:rFonts w:ascii="Times New Roman" w:eastAsia="Arial Unicode MS" w:hAnsi="Times New Roman" w:cs="Times New Roman"/>
          <w:color w:val="auto"/>
          <w:sz w:val="24"/>
          <w:szCs w:val="24"/>
        </w:rPr>
        <w:t>Insert Table 3 about here</w:t>
      </w:r>
      <w:r>
        <w:rPr>
          <w:rFonts w:ascii="Times New Roman" w:eastAsia="Arial Unicode MS" w:hAnsi="Times New Roman" w:cs="Times New Roman"/>
          <w:color w:val="auto"/>
          <w:sz w:val="24"/>
          <w:szCs w:val="24"/>
        </w:rPr>
        <w:t>]</w:t>
      </w:r>
    </w:p>
    <w:p w14:paraId="4F2DD4E8" w14:textId="3B0CE4C3" w:rsidR="00724526" w:rsidRDefault="00870C05">
      <w:pPr>
        <w:spacing w:after="0" w:line="480" w:lineRule="auto"/>
        <w:ind w:firstLine="720"/>
        <w:rPr>
          <w:rFonts w:ascii="Times New Roman" w:eastAsia="Arial Unicode MS" w:hAnsi="Times New Roman" w:cs="Times New Roman"/>
          <w:color w:val="auto"/>
          <w:sz w:val="24"/>
          <w:szCs w:val="24"/>
        </w:rPr>
      </w:pPr>
      <w:r w:rsidRPr="002B710B">
        <w:rPr>
          <w:rFonts w:ascii="Times New Roman" w:eastAsia="Arial Unicode MS" w:hAnsi="Times New Roman" w:cs="Times New Roman"/>
          <w:color w:val="auto"/>
          <w:sz w:val="24"/>
          <w:szCs w:val="24"/>
        </w:rPr>
        <w:lastRenderedPageBreak/>
        <w:t xml:space="preserve">Unlike the calculus I/ PS&amp;E I interdisciplinary course pair, fewer </w:t>
      </w:r>
      <w:r w:rsidR="002D054E" w:rsidRPr="002B710B">
        <w:rPr>
          <w:rFonts w:ascii="Times New Roman" w:eastAsia="Arial Unicode MS" w:hAnsi="Times New Roman" w:cs="Times New Roman"/>
          <w:color w:val="auto"/>
          <w:sz w:val="24"/>
          <w:szCs w:val="24"/>
        </w:rPr>
        <w:t>students’</w:t>
      </w:r>
      <w:r w:rsidRPr="002B710B">
        <w:rPr>
          <w:rFonts w:ascii="Times New Roman" w:eastAsia="Arial Unicode MS" w:hAnsi="Times New Roman" w:cs="Times New Roman"/>
          <w:color w:val="auto"/>
          <w:sz w:val="24"/>
          <w:szCs w:val="24"/>
        </w:rPr>
        <w:t xml:space="preserve"> progress </w:t>
      </w:r>
      <w:r w:rsidR="002E25A0" w:rsidRPr="002B710B">
        <w:rPr>
          <w:rFonts w:ascii="Times New Roman" w:eastAsia="Arial Unicode MS" w:hAnsi="Times New Roman" w:cs="Times New Roman"/>
          <w:color w:val="auto"/>
          <w:sz w:val="24"/>
          <w:szCs w:val="24"/>
        </w:rPr>
        <w:t xml:space="preserve">in these two disciplines simultaneously.  In fact, while 78% of these students final enrollment in chemistry is in a course more advanced than general chemistry </w:t>
      </w:r>
      <w:proofErr w:type="gramStart"/>
      <w:r w:rsidR="002E25A0" w:rsidRPr="002B710B">
        <w:rPr>
          <w:rFonts w:ascii="Times New Roman" w:eastAsia="Arial Unicode MS" w:hAnsi="Times New Roman" w:cs="Times New Roman"/>
          <w:color w:val="auto"/>
          <w:sz w:val="24"/>
          <w:szCs w:val="24"/>
        </w:rPr>
        <w:t>I</w:t>
      </w:r>
      <w:proofErr w:type="gramEnd"/>
      <w:r w:rsidR="002E25A0" w:rsidRPr="002B710B">
        <w:rPr>
          <w:rFonts w:ascii="Times New Roman" w:eastAsia="Arial Unicode MS" w:hAnsi="Times New Roman" w:cs="Times New Roman"/>
          <w:color w:val="auto"/>
          <w:sz w:val="24"/>
          <w:szCs w:val="24"/>
        </w:rPr>
        <w:t xml:space="preserve">, only 28% of the final enrollments of these students is in the second core biology course.  Further, only 41% of these students ever take the second core biology course. </w:t>
      </w:r>
    </w:p>
    <w:p w14:paraId="2C4D9F20" w14:textId="77777777" w:rsidR="00724526" w:rsidRDefault="005F7821">
      <w:pPr>
        <w:spacing w:after="0" w:line="480" w:lineRule="auto"/>
        <w:ind w:firstLine="720"/>
        <w:rPr>
          <w:rFonts w:ascii="Times New Roman" w:eastAsia="Arial Unicode MS" w:hAnsi="Times New Roman" w:cs="Times New Roman"/>
          <w:color w:val="auto"/>
          <w:sz w:val="24"/>
          <w:szCs w:val="24"/>
        </w:rPr>
      </w:pPr>
      <w:r>
        <w:rPr>
          <w:rFonts w:ascii="Times New Roman" w:eastAsia="Arial Unicode MS" w:hAnsi="Times New Roman" w:cs="Times New Roman"/>
          <w:color w:val="auto"/>
          <w:sz w:val="24"/>
          <w:szCs w:val="24"/>
        </w:rPr>
        <w:t>Figure 3</w:t>
      </w:r>
      <w:r w:rsidR="002E25A0" w:rsidRPr="002B710B">
        <w:rPr>
          <w:rFonts w:ascii="Times New Roman" w:eastAsia="Arial Unicode MS" w:hAnsi="Times New Roman" w:cs="Times New Roman"/>
          <w:color w:val="auto"/>
          <w:sz w:val="24"/>
          <w:szCs w:val="24"/>
        </w:rPr>
        <w:t xml:space="preserve"> presents the course</w:t>
      </w:r>
      <w:r w:rsidR="00C60634" w:rsidRPr="002B710B">
        <w:rPr>
          <w:rFonts w:ascii="Times New Roman" w:eastAsia="Arial Unicode MS" w:hAnsi="Times New Roman" w:cs="Times New Roman"/>
          <w:color w:val="auto"/>
          <w:sz w:val="24"/>
          <w:szCs w:val="24"/>
        </w:rPr>
        <w:t>-</w:t>
      </w:r>
      <w:r w:rsidR="002E25A0" w:rsidRPr="002B710B">
        <w:rPr>
          <w:rFonts w:ascii="Times New Roman" w:eastAsia="Arial Unicode MS" w:hAnsi="Times New Roman" w:cs="Times New Roman"/>
          <w:color w:val="auto"/>
          <w:sz w:val="24"/>
          <w:szCs w:val="24"/>
        </w:rPr>
        <w:t>taking behaviors and subsequent outcomes for students who attempt the interdisciplinary course pair of general biology I and general chemistry I.  Similar to the calculus I/ PS&amp;E I pair, there is one dominant path with 89% of students enrolling in general chemistry I before general biology I.  Of note</w:t>
      </w:r>
      <w:r w:rsidR="00C60634" w:rsidRPr="002B710B">
        <w:rPr>
          <w:rFonts w:ascii="Times New Roman" w:eastAsia="Arial Unicode MS" w:hAnsi="Times New Roman" w:cs="Times New Roman"/>
          <w:color w:val="auto"/>
          <w:sz w:val="24"/>
          <w:szCs w:val="24"/>
        </w:rPr>
        <w:t>,</w:t>
      </w:r>
      <w:r w:rsidR="002E25A0" w:rsidRPr="002B710B">
        <w:rPr>
          <w:rFonts w:ascii="Times New Roman" w:eastAsia="Arial Unicode MS" w:hAnsi="Times New Roman" w:cs="Times New Roman"/>
          <w:color w:val="auto"/>
          <w:sz w:val="24"/>
          <w:szCs w:val="24"/>
        </w:rPr>
        <w:t xml:space="preserve"> the overall results of students success in biology is similar regardless of the order these courses are taken in.  However, success in chemistry is highest in the dominant path, where </w:t>
      </w:r>
      <w:r w:rsidR="006B0338" w:rsidRPr="002B710B">
        <w:rPr>
          <w:rFonts w:ascii="Times New Roman" w:eastAsia="Arial Unicode MS" w:hAnsi="Times New Roman" w:cs="Times New Roman"/>
          <w:color w:val="auto"/>
          <w:sz w:val="24"/>
          <w:szCs w:val="24"/>
        </w:rPr>
        <w:t xml:space="preserve">74% of students are successful on their first attempt, compared to 68% when the courses are taken concurrently and 60% when students take general biology I first.  </w:t>
      </w:r>
      <w:r w:rsidR="002E25A0" w:rsidRPr="002B710B">
        <w:rPr>
          <w:rFonts w:ascii="Times New Roman" w:eastAsia="Arial Unicode MS" w:hAnsi="Times New Roman" w:cs="Times New Roman"/>
          <w:color w:val="auto"/>
          <w:sz w:val="24"/>
          <w:szCs w:val="24"/>
        </w:rPr>
        <w:t xml:space="preserve"> </w:t>
      </w:r>
    </w:p>
    <w:p w14:paraId="38DE561B" w14:textId="77777777" w:rsidR="00724526" w:rsidRDefault="00702EB4">
      <w:pPr>
        <w:spacing w:after="0" w:line="480" w:lineRule="auto"/>
        <w:jc w:val="center"/>
        <w:rPr>
          <w:rFonts w:ascii="Times New Roman" w:eastAsia="Arial Unicode MS" w:hAnsi="Times New Roman" w:cs="Times New Roman"/>
          <w:color w:val="auto"/>
          <w:sz w:val="24"/>
          <w:szCs w:val="24"/>
        </w:rPr>
      </w:pPr>
      <w:r>
        <w:rPr>
          <w:rFonts w:ascii="Times New Roman" w:eastAsia="Arial Unicode MS" w:hAnsi="Times New Roman" w:cs="Times New Roman"/>
          <w:color w:val="auto"/>
          <w:sz w:val="24"/>
          <w:szCs w:val="24"/>
        </w:rPr>
        <w:t>[</w:t>
      </w:r>
      <w:r w:rsidR="005F7821">
        <w:rPr>
          <w:rFonts w:ascii="Times New Roman" w:eastAsia="Arial Unicode MS" w:hAnsi="Times New Roman" w:cs="Times New Roman"/>
          <w:color w:val="auto"/>
          <w:sz w:val="24"/>
          <w:szCs w:val="24"/>
        </w:rPr>
        <w:t>Insert Figure 3</w:t>
      </w:r>
      <w:r w:rsidR="007778A6" w:rsidRPr="002B710B">
        <w:rPr>
          <w:rFonts w:ascii="Times New Roman" w:eastAsia="Arial Unicode MS" w:hAnsi="Times New Roman" w:cs="Times New Roman"/>
          <w:color w:val="auto"/>
          <w:sz w:val="24"/>
          <w:szCs w:val="24"/>
        </w:rPr>
        <w:t xml:space="preserve"> </w:t>
      </w:r>
      <w:r w:rsidR="00E27549" w:rsidRPr="002B710B">
        <w:rPr>
          <w:rFonts w:ascii="Times New Roman" w:eastAsia="Arial Unicode MS" w:hAnsi="Times New Roman" w:cs="Times New Roman"/>
          <w:color w:val="auto"/>
          <w:sz w:val="24"/>
          <w:szCs w:val="24"/>
        </w:rPr>
        <w:t>about here</w:t>
      </w:r>
      <w:r>
        <w:rPr>
          <w:rFonts w:ascii="Times New Roman" w:eastAsia="Arial Unicode MS" w:hAnsi="Times New Roman" w:cs="Times New Roman"/>
          <w:color w:val="auto"/>
          <w:sz w:val="24"/>
          <w:szCs w:val="24"/>
        </w:rPr>
        <w:t>]</w:t>
      </w:r>
    </w:p>
    <w:p w14:paraId="449A2E96" w14:textId="77777777" w:rsidR="00724526" w:rsidRDefault="006B0338">
      <w:pPr>
        <w:spacing w:after="0" w:line="480" w:lineRule="auto"/>
        <w:rPr>
          <w:rFonts w:ascii="Times New Roman" w:eastAsia="Arial Unicode MS" w:hAnsi="Times New Roman" w:cs="Times New Roman"/>
          <w:color w:val="auto"/>
          <w:sz w:val="24"/>
          <w:szCs w:val="24"/>
        </w:rPr>
      </w:pPr>
      <w:r w:rsidRPr="002B710B">
        <w:rPr>
          <w:rFonts w:ascii="Times New Roman" w:eastAsia="Arial Unicode MS" w:hAnsi="Times New Roman" w:cs="Times New Roman"/>
          <w:color w:val="auto"/>
          <w:sz w:val="24"/>
          <w:szCs w:val="24"/>
        </w:rPr>
        <w:tab/>
        <w:t xml:space="preserve">In this interdisciplinary pair, it is easy to spot the course with the highest variance in success across groups. Specifically, historically disadvantaged students have noticeably lower success rates in chemistry (10%) compared to their historically advantaged peers.   </w:t>
      </w:r>
      <w:r w:rsidR="006A510D" w:rsidRPr="002B710B">
        <w:rPr>
          <w:rFonts w:ascii="Times New Roman" w:eastAsia="Arial Unicode MS" w:hAnsi="Times New Roman" w:cs="Times New Roman"/>
          <w:color w:val="auto"/>
          <w:sz w:val="24"/>
          <w:szCs w:val="24"/>
        </w:rPr>
        <w:t xml:space="preserve">Further, even the highest success rate in general chemistry I for historically disadvantaged students is 66%, providing evidence of chemistry as stumbling block and may be associated with students attempting lower level courses even after first enrolling in general chemistry I.  </w:t>
      </w:r>
    </w:p>
    <w:p w14:paraId="69FA1618" w14:textId="77777777" w:rsidR="00724526" w:rsidRDefault="006A510D">
      <w:pPr>
        <w:spacing w:after="0" w:line="480" w:lineRule="auto"/>
        <w:rPr>
          <w:rFonts w:ascii="Times New Roman" w:eastAsia="Arial Unicode MS" w:hAnsi="Times New Roman" w:cs="Times New Roman"/>
          <w:color w:val="auto"/>
          <w:sz w:val="24"/>
          <w:szCs w:val="24"/>
        </w:rPr>
      </w:pPr>
      <w:r w:rsidRPr="002B710B">
        <w:rPr>
          <w:rFonts w:ascii="Times New Roman" w:eastAsia="Arial Unicode MS" w:hAnsi="Times New Roman" w:cs="Times New Roman"/>
          <w:color w:val="auto"/>
          <w:sz w:val="24"/>
          <w:szCs w:val="24"/>
        </w:rPr>
        <w:tab/>
        <w:t>In reviewing the outcomes of these students by their course</w:t>
      </w:r>
      <w:r w:rsidR="00C60634" w:rsidRPr="002B710B">
        <w:rPr>
          <w:rFonts w:ascii="Times New Roman" w:eastAsia="Arial Unicode MS" w:hAnsi="Times New Roman" w:cs="Times New Roman"/>
          <w:color w:val="auto"/>
          <w:sz w:val="24"/>
          <w:szCs w:val="24"/>
        </w:rPr>
        <w:t>-</w:t>
      </w:r>
      <w:r w:rsidRPr="002B710B">
        <w:rPr>
          <w:rFonts w:ascii="Times New Roman" w:eastAsia="Arial Unicode MS" w:hAnsi="Times New Roman" w:cs="Times New Roman"/>
          <w:color w:val="auto"/>
          <w:sz w:val="24"/>
          <w:szCs w:val="24"/>
        </w:rPr>
        <w:t>taking behavior</w:t>
      </w:r>
      <w:r w:rsidR="00C60634" w:rsidRPr="002B710B">
        <w:rPr>
          <w:rFonts w:ascii="Times New Roman" w:eastAsia="Arial Unicode MS" w:hAnsi="Times New Roman" w:cs="Times New Roman"/>
          <w:color w:val="auto"/>
          <w:sz w:val="24"/>
          <w:szCs w:val="24"/>
        </w:rPr>
        <w:t>,</w:t>
      </w:r>
      <w:r w:rsidRPr="002B710B">
        <w:rPr>
          <w:rFonts w:ascii="Times New Roman" w:eastAsia="Arial Unicode MS" w:hAnsi="Times New Roman" w:cs="Times New Roman"/>
          <w:color w:val="auto"/>
          <w:sz w:val="24"/>
          <w:szCs w:val="24"/>
        </w:rPr>
        <w:t xml:space="preserve"> we identify a few key findings.  First, we note that women and historically disadvantaged students are more likely to receive a credential than their advantaged or male counterparts are.  Specifically, </w:t>
      </w:r>
      <w:r w:rsidRPr="002B710B">
        <w:rPr>
          <w:rFonts w:ascii="Times New Roman" w:eastAsia="Arial Unicode MS" w:hAnsi="Times New Roman" w:cs="Times New Roman"/>
          <w:color w:val="auto"/>
          <w:sz w:val="24"/>
          <w:szCs w:val="24"/>
        </w:rPr>
        <w:lastRenderedPageBreak/>
        <w:t xml:space="preserve">women on average receive a credential 7-11% more than males, even when </w:t>
      </w:r>
      <w:r w:rsidR="00C60634" w:rsidRPr="002B710B">
        <w:rPr>
          <w:rFonts w:ascii="Times New Roman" w:eastAsia="Arial Unicode MS" w:hAnsi="Times New Roman" w:cs="Times New Roman"/>
          <w:color w:val="auto"/>
          <w:sz w:val="24"/>
          <w:szCs w:val="24"/>
        </w:rPr>
        <w:t>women who transfer</w:t>
      </w:r>
      <w:r w:rsidRPr="002B710B">
        <w:rPr>
          <w:rFonts w:ascii="Times New Roman" w:eastAsia="Arial Unicode MS" w:hAnsi="Times New Roman" w:cs="Times New Roman"/>
          <w:color w:val="auto"/>
          <w:sz w:val="24"/>
          <w:szCs w:val="24"/>
        </w:rPr>
        <w:t xml:space="preserve"> tend to also get a credential at higher rates. </w:t>
      </w:r>
      <w:r w:rsidR="003D6536" w:rsidRPr="002B710B">
        <w:rPr>
          <w:rFonts w:ascii="Times New Roman" w:eastAsia="Arial Unicode MS" w:hAnsi="Times New Roman" w:cs="Times New Roman"/>
          <w:color w:val="auto"/>
          <w:sz w:val="24"/>
          <w:szCs w:val="24"/>
        </w:rPr>
        <w:t xml:space="preserve"> </w:t>
      </w:r>
      <w:r w:rsidRPr="002B710B">
        <w:rPr>
          <w:rFonts w:ascii="Times New Roman" w:eastAsia="Arial Unicode MS" w:hAnsi="Times New Roman" w:cs="Times New Roman"/>
          <w:color w:val="auto"/>
          <w:sz w:val="24"/>
          <w:szCs w:val="24"/>
        </w:rPr>
        <w:t xml:space="preserve"> </w:t>
      </w:r>
      <w:r w:rsidR="003D6536" w:rsidRPr="002B710B">
        <w:rPr>
          <w:rFonts w:ascii="Times New Roman" w:eastAsia="Arial Unicode MS" w:hAnsi="Times New Roman" w:cs="Times New Roman"/>
          <w:color w:val="auto"/>
          <w:sz w:val="24"/>
          <w:szCs w:val="24"/>
        </w:rPr>
        <w:t>Second, a higher proportion of men (2-4%) neither receive a credential nor transfer than women.  As noted earlier</w:t>
      </w:r>
      <w:r w:rsidR="001F1719" w:rsidRPr="002B710B">
        <w:rPr>
          <w:rFonts w:ascii="Times New Roman" w:eastAsia="Arial Unicode MS" w:hAnsi="Times New Roman" w:cs="Times New Roman"/>
          <w:color w:val="auto"/>
          <w:sz w:val="24"/>
          <w:szCs w:val="24"/>
        </w:rPr>
        <w:t>,</w:t>
      </w:r>
      <w:r w:rsidR="003D6536" w:rsidRPr="002B710B">
        <w:rPr>
          <w:rFonts w:ascii="Times New Roman" w:eastAsia="Arial Unicode MS" w:hAnsi="Times New Roman" w:cs="Times New Roman"/>
          <w:color w:val="auto"/>
          <w:sz w:val="24"/>
          <w:szCs w:val="24"/>
        </w:rPr>
        <w:t xml:space="preserve"> this means that even after reaching these advanced courses at the community college, no less than 17% of men leave without credential nor transferring.  A similar finding is identified among historically disadvantaged groups.  One final finding of note is that</w:t>
      </w:r>
      <w:r w:rsidR="001F1719" w:rsidRPr="002B710B">
        <w:rPr>
          <w:rFonts w:ascii="Times New Roman" w:eastAsia="Arial Unicode MS" w:hAnsi="Times New Roman" w:cs="Times New Roman"/>
          <w:color w:val="auto"/>
          <w:sz w:val="24"/>
          <w:szCs w:val="24"/>
        </w:rPr>
        <w:t>,</w:t>
      </w:r>
      <w:r w:rsidR="003D6536" w:rsidRPr="002B710B">
        <w:rPr>
          <w:rFonts w:ascii="Times New Roman" w:eastAsia="Arial Unicode MS" w:hAnsi="Times New Roman" w:cs="Times New Roman"/>
          <w:color w:val="auto"/>
          <w:sz w:val="24"/>
          <w:szCs w:val="24"/>
        </w:rPr>
        <w:t xml:space="preserve"> even though the success rates for all groups is the highest for both groups when general chemistry I is taken before general biology I,  the highest transfer rate for historically disadvantaged students occurs when students take these two courses simultaneously.  </w:t>
      </w:r>
    </w:p>
    <w:p w14:paraId="3A2E7C3F" w14:textId="77777777" w:rsidR="00724526" w:rsidRDefault="00E27549">
      <w:pPr>
        <w:spacing w:after="0" w:line="480" w:lineRule="auto"/>
        <w:ind w:firstLine="720"/>
        <w:rPr>
          <w:rFonts w:ascii="Times New Roman" w:eastAsia="Arial Unicode MS" w:hAnsi="Times New Roman" w:cs="Times New Roman"/>
          <w:color w:val="auto"/>
          <w:sz w:val="24"/>
          <w:szCs w:val="24"/>
        </w:rPr>
      </w:pPr>
      <w:r w:rsidRPr="002B710B">
        <w:rPr>
          <w:rFonts w:ascii="Times New Roman" w:eastAsia="Arial Unicode MS" w:hAnsi="Times New Roman" w:cs="Times New Roman"/>
          <w:b/>
          <w:color w:val="auto"/>
          <w:sz w:val="24"/>
          <w:szCs w:val="24"/>
        </w:rPr>
        <w:t xml:space="preserve">Calculus I &amp; Computer Programming Basics. </w:t>
      </w:r>
      <w:r w:rsidR="00DB45A9" w:rsidRPr="002B710B">
        <w:rPr>
          <w:rFonts w:ascii="Times New Roman" w:eastAsia="Arial Unicode MS" w:hAnsi="Times New Roman" w:cs="Times New Roman"/>
          <w:color w:val="auto"/>
          <w:sz w:val="24"/>
          <w:szCs w:val="24"/>
        </w:rPr>
        <w:t xml:space="preserve">Table 4 presents the </w:t>
      </w:r>
      <w:r w:rsidR="003B71AB" w:rsidRPr="002B710B">
        <w:rPr>
          <w:rFonts w:ascii="Times New Roman" w:eastAsia="Arial Unicode MS" w:hAnsi="Times New Roman" w:cs="Times New Roman"/>
          <w:color w:val="auto"/>
          <w:sz w:val="24"/>
          <w:szCs w:val="24"/>
        </w:rPr>
        <w:t xml:space="preserve">course-taking engagement with math and computer science for students who take both calculus </w:t>
      </w:r>
      <w:proofErr w:type="gramStart"/>
      <w:r w:rsidR="003B71AB" w:rsidRPr="002B710B">
        <w:rPr>
          <w:rFonts w:ascii="Times New Roman" w:eastAsia="Arial Unicode MS" w:hAnsi="Times New Roman" w:cs="Times New Roman"/>
          <w:color w:val="auto"/>
          <w:sz w:val="24"/>
          <w:szCs w:val="24"/>
        </w:rPr>
        <w:t>I</w:t>
      </w:r>
      <w:proofErr w:type="gramEnd"/>
      <w:r w:rsidR="003B71AB" w:rsidRPr="002B710B">
        <w:rPr>
          <w:rFonts w:ascii="Times New Roman" w:eastAsia="Arial Unicode MS" w:hAnsi="Times New Roman" w:cs="Times New Roman"/>
          <w:color w:val="auto"/>
          <w:sz w:val="24"/>
          <w:szCs w:val="24"/>
        </w:rPr>
        <w:t xml:space="preserve"> and the computer programming basics course.  Calculus I is a common course between two of our identified course pairs, and it is important to note that of the 27,009 students who attempt calculus I and computer programming basics, 49% </w:t>
      </w:r>
      <w:r w:rsidR="00702EB4">
        <w:rPr>
          <w:rFonts w:ascii="Times New Roman" w:eastAsia="Arial Unicode MS" w:hAnsi="Times New Roman" w:cs="Times New Roman"/>
          <w:color w:val="auto"/>
          <w:sz w:val="24"/>
          <w:szCs w:val="24"/>
        </w:rPr>
        <w:t>[</w:t>
      </w:r>
      <w:r w:rsidR="003B71AB" w:rsidRPr="002B710B">
        <w:rPr>
          <w:rFonts w:ascii="Times New Roman" w:eastAsia="Arial Unicode MS" w:hAnsi="Times New Roman" w:cs="Times New Roman"/>
          <w:color w:val="auto"/>
          <w:sz w:val="24"/>
          <w:szCs w:val="24"/>
        </w:rPr>
        <w:t>13,154/27,009</w:t>
      </w:r>
      <w:r w:rsidR="00702EB4">
        <w:rPr>
          <w:rFonts w:ascii="Times New Roman" w:eastAsia="Arial Unicode MS" w:hAnsi="Times New Roman" w:cs="Times New Roman"/>
          <w:color w:val="auto"/>
          <w:sz w:val="24"/>
          <w:szCs w:val="24"/>
        </w:rPr>
        <w:t>]</w:t>
      </w:r>
      <w:r w:rsidR="003B71AB" w:rsidRPr="002B710B">
        <w:rPr>
          <w:rFonts w:ascii="Times New Roman" w:eastAsia="Arial Unicode MS" w:hAnsi="Times New Roman" w:cs="Times New Roman"/>
          <w:color w:val="auto"/>
          <w:sz w:val="24"/>
          <w:szCs w:val="24"/>
        </w:rPr>
        <w:t xml:space="preserve"> also completed the calculus I/ PS&amp;E I course pair.  As such, the findings of course engagement will be fairly similar.  For example, the first enrollment in math for 78% </w:t>
      </w:r>
      <w:r w:rsidR="0019406F" w:rsidRPr="002B710B">
        <w:rPr>
          <w:rFonts w:ascii="Times New Roman" w:eastAsia="Arial Unicode MS" w:hAnsi="Times New Roman" w:cs="Times New Roman"/>
          <w:color w:val="auto"/>
          <w:sz w:val="24"/>
          <w:szCs w:val="24"/>
        </w:rPr>
        <w:t>of these</w:t>
      </w:r>
      <w:r w:rsidR="003B71AB" w:rsidRPr="002B710B">
        <w:rPr>
          <w:rFonts w:ascii="Times New Roman" w:eastAsia="Arial Unicode MS" w:hAnsi="Times New Roman" w:cs="Times New Roman"/>
          <w:color w:val="auto"/>
          <w:sz w:val="24"/>
          <w:szCs w:val="24"/>
        </w:rPr>
        <w:t xml:space="preserve"> students is </w:t>
      </w:r>
      <w:r w:rsidR="001F1719" w:rsidRPr="002B710B">
        <w:rPr>
          <w:rFonts w:ascii="Times New Roman" w:eastAsia="Arial Unicode MS" w:hAnsi="Times New Roman" w:cs="Times New Roman"/>
          <w:color w:val="auto"/>
          <w:sz w:val="24"/>
          <w:szCs w:val="24"/>
        </w:rPr>
        <w:t>t</w:t>
      </w:r>
      <w:r w:rsidR="003B71AB" w:rsidRPr="002B710B">
        <w:rPr>
          <w:rFonts w:ascii="Times New Roman" w:eastAsia="Arial Unicode MS" w:hAnsi="Times New Roman" w:cs="Times New Roman"/>
          <w:color w:val="auto"/>
          <w:sz w:val="24"/>
          <w:szCs w:val="24"/>
        </w:rPr>
        <w:t xml:space="preserve">rigonometry </w:t>
      </w:r>
      <w:r w:rsidR="003079AC" w:rsidRPr="002B710B">
        <w:rPr>
          <w:rFonts w:ascii="Times New Roman" w:eastAsia="Arial Unicode MS" w:hAnsi="Times New Roman" w:cs="Times New Roman"/>
          <w:color w:val="auto"/>
          <w:sz w:val="24"/>
          <w:szCs w:val="24"/>
        </w:rPr>
        <w:t>is</w:t>
      </w:r>
      <w:r w:rsidR="00F9100B" w:rsidRPr="002B710B">
        <w:rPr>
          <w:rFonts w:ascii="Times New Roman" w:eastAsia="Arial Unicode MS" w:hAnsi="Times New Roman" w:cs="Times New Roman"/>
          <w:color w:val="auto"/>
          <w:sz w:val="24"/>
          <w:szCs w:val="24"/>
        </w:rPr>
        <w:t xml:space="preserve"> </w:t>
      </w:r>
      <w:r w:rsidR="003B71AB" w:rsidRPr="002B710B">
        <w:rPr>
          <w:rFonts w:ascii="Times New Roman" w:eastAsia="Arial Unicode MS" w:hAnsi="Times New Roman" w:cs="Times New Roman"/>
          <w:color w:val="auto"/>
          <w:sz w:val="24"/>
          <w:szCs w:val="24"/>
        </w:rPr>
        <w:t xml:space="preserve">higher, which is similar to the calculus I/ PS&amp;E I course pair.  </w:t>
      </w:r>
    </w:p>
    <w:p w14:paraId="24615B73" w14:textId="77777777" w:rsidR="00724526" w:rsidRDefault="00702EB4">
      <w:pPr>
        <w:spacing w:after="0" w:line="480" w:lineRule="auto"/>
        <w:jc w:val="center"/>
        <w:rPr>
          <w:rFonts w:ascii="Times New Roman" w:eastAsia="Arial Unicode MS" w:hAnsi="Times New Roman" w:cs="Times New Roman"/>
          <w:color w:val="auto"/>
          <w:sz w:val="24"/>
          <w:szCs w:val="24"/>
        </w:rPr>
      </w:pPr>
      <w:r>
        <w:rPr>
          <w:rFonts w:ascii="Times New Roman" w:eastAsia="Arial Unicode MS" w:hAnsi="Times New Roman" w:cs="Times New Roman"/>
          <w:color w:val="auto"/>
          <w:sz w:val="24"/>
          <w:szCs w:val="24"/>
        </w:rPr>
        <w:t>[</w:t>
      </w:r>
      <w:r w:rsidR="00DB5325" w:rsidRPr="002B710B">
        <w:rPr>
          <w:rFonts w:ascii="Times New Roman" w:eastAsia="Arial Unicode MS" w:hAnsi="Times New Roman" w:cs="Times New Roman"/>
          <w:color w:val="auto"/>
          <w:sz w:val="24"/>
          <w:szCs w:val="24"/>
        </w:rPr>
        <w:t>Insert Table 4 about here</w:t>
      </w:r>
      <w:r>
        <w:rPr>
          <w:rFonts w:ascii="Times New Roman" w:eastAsia="Arial Unicode MS" w:hAnsi="Times New Roman" w:cs="Times New Roman"/>
          <w:color w:val="auto"/>
          <w:sz w:val="24"/>
          <w:szCs w:val="24"/>
        </w:rPr>
        <w:t>]</w:t>
      </w:r>
    </w:p>
    <w:p w14:paraId="45FE0718" w14:textId="77777777" w:rsidR="00724526" w:rsidRDefault="003B71AB">
      <w:pPr>
        <w:spacing w:after="0" w:line="480" w:lineRule="auto"/>
        <w:ind w:firstLine="720"/>
        <w:rPr>
          <w:rFonts w:ascii="Times New Roman" w:eastAsia="Arial Unicode MS" w:hAnsi="Times New Roman" w:cs="Times New Roman"/>
          <w:color w:val="auto"/>
          <w:sz w:val="24"/>
          <w:szCs w:val="24"/>
        </w:rPr>
      </w:pPr>
      <w:r w:rsidRPr="002B710B">
        <w:rPr>
          <w:rFonts w:ascii="Times New Roman" w:eastAsia="Arial Unicode MS" w:hAnsi="Times New Roman" w:cs="Times New Roman"/>
          <w:color w:val="auto"/>
          <w:sz w:val="24"/>
          <w:szCs w:val="24"/>
        </w:rPr>
        <w:t xml:space="preserve">In contrast to the calculus I/ PS&amp;E I course pair, only 70% of these students attempt calculus II compared to 93%, and only 45% attempt calculus III compared to 67%.  Further, it would appear that the majority of students engaging in this course pair do not take computer </w:t>
      </w:r>
      <w:r w:rsidR="009A3917" w:rsidRPr="002B710B">
        <w:rPr>
          <w:rFonts w:ascii="Times New Roman" w:eastAsia="Arial Unicode MS" w:hAnsi="Times New Roman" w:cs="Times New Roman"/>
          <w:color w:val="auto"/>
          <w:sz w:val="24"/>
          <w:szCs w:val="24"/>
        </w:rPr>
        <w:lastRenderedPageBreak/>
        <w:t>science</w:t>
      </w:r>
      <w:r w:rsidRPr="002B710B">
        <w:rPr>
          <w:rFonts w:ascii="Times New Roman" w:eastAsia="Arial Unicode MS" w:hAnsi="Times New Roman" w:cs="Times New Roman"/>
          <w:color w:val="auto"/>
          <w:sz w:val="24"/>
          <w:szCs w:val="24"/>
        </w:rPr>
        <w:t xml:space="preserve"> courses beyond the basic programming language courses.</w:t>
      </w:r>
      <w:r w:rsidRPr="00113507">
        <w:rPr>
          <w:rStyle w:val="FootnoteReference"/>
          <w:rFonts w:ascii="Times New Roman" w:eastAsia="Arial Unicode MS" w:hAnsi="Times New Roman" w:cs="Times New Roman"/>
          <w:color w:val="auto"/>
          <w:sz w:val="24"/>
          <w:szCs w:val="24"/>
        </w:rPr>
        <w:footnoteReference w:id="2"/>
      </w:r>
      <w:r w:rsidR="00DB5325" w:rsidRPr="00113507">
        <w:rPr>
          <w:rFonts w:ascii="Times New Roman" w:eastAsia="Arial Unicode MS" w:hAnsi="Times New Roman" w:cs="Times New Roman"/>
          <w:color w:val="auto"/>
          <w:sz w:val="24"/>
          <w:szCs w:val="24"/>
        </w:rPr>
        <w:t xml:space="preserve"> In fact, for 83</w:t>
      </w:r>
      <w:r w:rsidR="009A3917" w:rsidRPr="009C0EDA">
        <w:rPr>
          <w:rFonts w:ascii="Times New Roman" w:eastAsia="Arial Unicode MS" w:hAnsi="Times New Roman" w:cs="Times New Roman"/>
          <w:color w:val="auto"/>
          <w:sz w:val="24"/>
          <w:szCs w:val="24"/>
        </w:rPr>
        <w:t xml:space="preserve">% of the students </w:t>
      </w:r>
      <w:r w:rsidR="007D794A">
        <w:rPr>
          <w:rFonts w:ascii="Times New Roman" w:eastAsia="Arial Unicode MS" w:hAnsi="Times New Roman" w:cs="Times New Roman"/>
          <w:color w:val="auto"/>
          <w:sz w:val="24"/>
          <w:szCs w:val="24"/>
        </w:rPr>
        <w:t>enrolle</w:t>
      </w:r>
      <w:r w:rsidR="009A3917" w:rsidRPr="009C0EDA">
        <w:rPr>
          <w:rFonts w:ascii="Times New Roman" w:eastAsia="Arial Unicode MS" w:hAnsi="Times New Roman" w:cs="Times New Roman"/>
          <w:color w:val="auto"/>
          <w:sz w:val="24"/>
          <w:szCs w:val="24"/>
        </w:rPr>
        <w:t xml:space="preserve">d in this interdisciplinary course pair, computer programming basics was their </w:t>
      </w:r>
      <w:r w:rsidR="00DB5325" w:rsidRPr="009C0EDA">
        <w:rPr>
          <w:rFonts w:ascii="Times New Roman" w:eastAsia="Arial Unicode MS" w:hAnsi="Times New Roman" w:cs="Times New Roman"/>
          <w:color w:val="auto"/>
          <w:sz w:val="24"/>
          <w:szCs w:val="24"/>
        </w:rPr>
        <w:t xml:space="preserve">first and last </w:t>
      </w:r>
      <w:r w:rsidR="009A3917" w:rsidRPr="002B710B">
        <w:rPr>
          <w:rFonts w:ascii="Times New Roman" w:eastAsia="Arial Unicode MS" w:hAnsi="Times New Roman" w:cs="Times New Roman"/>
          <w:color w:val="auto"/>
          <w:sz w:val="24"/>
          <w:szCs w:val="24"/>
        </w:rPr>
        <w:t xml:space="preserve">computer science course at the community </w:t>
      </w:r>
      <w:r w:rsidR="005F7821">
        <w:rPr>
          <w:rFonts w:ascii="Times New Roman" w:eastAsia="Arial Unicode MS" w:hAnsi="Times New Roman" w:cs="Times New Roman"/>
          <w:color w:val="auto"/>
          <w:sz w:val="24"/>
          <w:szCs w:val="24"/>
        </w:rPr>
        <w:t>college-level</w:t>
      </w:r>
      <w:r w:rsidR="009A3917" w:rsidRPr="002B710B">
        <w:rPr>
          <w:rFonts w:ascii="Times New Roman" w:eastAsia="Arial Unicode MS" w:hAnsi="Times New Roman" w:cs="Times New Roman"/>
          <w:color w:val="auto"/>
          <w:sz w:val="24"/>
          <w:szCs w:val="24"/>
        </w:rPr>
        <w:t xml:space="preserve">.   </w:t>
      </w:r>
      <w:r w:rsidR="00DB5325" w:rsidRPr="002B710B">
        <w:rPr>
          <w:rFonts w:ascii="Times New Roman" w:eastAsia="Arial Unicode MS" w:hAnsi="Times New Roman" w:cs="Times New Roman"/>
          <w:color w:val="auto"/>
          <w:sz w:val="24"/>
          <w:szCs w:val="24"/>
        </w:rPr>
        <w:t>This could be due to inconsistencies in the</w:t>
      </w:r>
      <w:r w:rsidR="007068F8" w:rsidRPr="002B710B">
        <w:rPr>
          <w:rFonts w:ascii="Times New Roman" w:eastAsia="Arial Unicode MS" w:hAnsi="Times New Roman" w:cs="Times New Roman"/>
          <w:color w:val="auto"/>
          <w:sz w:val="24"/>
          <w:szCs w:val="24"/>
        </w:rPr>
        <w:t xml:space="preserve"> computer science</w:t>
      </w:r>
      <w:r w:rsidR="00DB5325" w:rsidRPr="002B710B">
        <w:rPr>
          <w:rFonts w:ascii="Times New Roman" w:eastAsia="Arial Unicode MS" w:hAnsi="Times New Roman" w:cs="Times New Roman"/>
          <w:color w:val="auto"/>
          <w:sz w:val="24"/>
          <w:szCs w:val="24"/>
        </w:rPr>
        <w:t xml:space="preserve"> curriculum across community colleges. </w:t>
      </w:r>
    </w:p>
    <w:p w14:paraId="3D630606" w14:textId="77777777" w:rsidR="00724526" w:rsidRDefault="005F7821">
      <w:pPr>
        <w:spacing w:after="0" w:line="480" w:lineRule="auto"/>
        <w:ind w:firstLine="720"/>
        <w:rPr>
          <w:rFonts w:ascii="Times New Roman" w:eastAsia="Arial Unicode MS" w:hAnsi="Times New Roman" w:cs="Times New Roman"/>
          <w:color w:val="auto"/>
          <w:sz w:val="24"/>
          <w:szCs w:val="24"/>
        </w:rPr>
      </w:pPr>
      <w:r>
        <w:rPr>
          <w:rFonts w:ascii="Times New Roman" w:eastAsia="Arial Unicode MS" w:hAnsi="Times New Roman" w:cs="Times New Roman"/>
          <w:color w:val="auto"/>
          <w:sz w:val="24"/>
          <w:szCs w:val="24"/>
        </w:rPr>
        <w:t>In figure 4</w:t>
      </w:r>
      <w:r w:rsidR="009C7F10" w:rsidRPr="002B710B">
        <w:rPr>
          <w:rFonts w:ascii="Times New Roman" w:eastAsia="Arial Unicode MS" w:hAnsi="Times New Roman" w:cs="Times New Roman"/>
          <w:color w:val="auto"/>
          <w:sz w:val="24"/>
          <w:szCs w:val="24"/>
        </w:rPr>
        <w:t>,</w:t>
      </w:r>
      <w:r w:rsidR="00DB5325" w:rsidRPr="002B710B">
        <w:rPr>
          <w:rFonts w:ascii="Times New Roman" w:eastAsia="Arial Unicode MS" w:hAnsi="Times New Roman" w:cs="Times New Roman"/>
          <w:color w:val="auto"/>
          <w:sz w:val="24"/>
          <w:szCs w:val="24"/>
        </w:rPr>
        <w:t xml:space="preserve"> we see the </w:t>
      </w:r>
      <w:r w:rsidR="0019553D" w:rsidRPr="002B710B">
        <w:rPr>
          <w:rFonts w:ascii="Times New Roman" w:eastAsia="Arial Unicode MS" w:hAnsi="Times New Roman" w:cs="Times New Roman"/>
          <w:color w:val="auto"/>
          <w:sz w:val="24"/>
          <w:szCs w:val="24"/>
        </w:rPr>
        <w:t>course-taking</w:t>
      </w:r>
      <w:r w:rsidR="00DB5325" w:rsidRPr="002B710B">
        <w:rPr>
          <w:rFonts w:ascii="Times New Roman" w:eastAsia="Arial Unicode MS" w:hAnsi="Times New Roman" w:cs="Times New Roman"/>
          <w:color w:val="auto"/>
          <w:sz w:val="24"/>
          <w:szCs w:val="24"/>
        </w:rPr>
        <w:t xml:space="preserve"> behaviors of the students who attempted both calculus I and the computer programming basics course.  In contrast to the other two interdisciplinary course pairs discussed, we observe that there is not </w:t>
      </w:r>
      <w:r w:rsidR="009C7F10" w:rsidRPr="002B710B">
        <w:rPr>
          <w:rFonts w:ascii="Times New Roman" w:eastAsia="Arial Unicode MS" w:hAnsi="Times New Roman" w:cs="Times New Roman"/>
          <w:color w:val="auto"/>
          <w:sz w:val="24"/>
          <w:szCs w:val="24"/>
        </w:rPr>
        <w:t xml:space="preserve">a particular </w:t>
      </w:r>
      <w:r w:rsidR="00DB5325" w:rsidRPr="002B710B">
        <w:rPr>
          <w:rFonts w:ascii="Times New Roman" w:eastAsia="Arial Unicode MS" w:hAnsi="Times New Roman" w:cs="Times New Roman"/>
          <w:color w:val="auto"/>
          <w:sz w:val="24"/>
          <w:szCs w:val="24"/>
        </w:rPr>
        <w:t>dominant course</w:t>
      </w:r>
      <w:r w:rsidR="009C7F10" w:rsidRPr="002B710B">
        <w:rPr>
          <w:rFonts w:ascii="Times New Roman" w:eastAsia="Arial Unicode MS" w:hAnsi="Times New Roman" w:cs="Times New Roman"/>
          <w:color w:val="auto"/>
          <w:sz w:val="24"/>
          <w:szCs w:val="24"/>
        </w:rPr>
        <w:t>-</w:t>
      </w:r>
      <w:r w:rsidR="00DB5325" w:rsidRPr="002B710B">
        <w:rPr>
          <w:rFonts w:ascii="Times New Roman" w:eastAsia="Arial Unicode MS" w:hAnsi="Times New Roman" w:cs="Times New Roman"/>
          <w:color w:val="auto"/>
          <w:sz w:val="24"/>
          <w:szCs w:val="24"/>
        </w:rPr>
        <w:t xml:space="preserve">taking path, though 53% of students take calculus I before they take computer programming basics.  </w:t>
      </w:r>
    </w:p>
    <w:p w14:paraId="1AEAFA03" w14:textId="77777777" w:rsidR="00724526" w:rsidRDefault="00702EB4">
      <w:pPr>
        <w:spacing w:after="0" w:line="480" w:lineRule="auto"/>
        <w:jc w:val="center"/>
        <w:rPr>
          <w:rFonts w:ascii="Times New Roman" w:eastAsia="Arial Unicode MS" w:hAnsi="Times New Roman" w:cs="Times New Roman"/>
          <w:color w:val="auto"/>
          <w:sz w:val="24"/>
          <w:szCs w:val="24"/>
        </w:rPr>
      </w:pPr>
      <w:r>
        <w:rPr>
          <w:rFonts w:ascii="Times New Roman" w:eastAsia="Arial Unicode MS" w:hAnsi="Times New Roman" w:cs="Times New Roman"/>
          <w:color w:val="auto"/>
          <w:sz w:val="24"/>
          <w:szCs w:val="24"/>
        </w:rPr>
        <w:t>[</w:t>
      </w:r>
      <w:r w:rsidR="005F7821">
        <w:rPr>
          <w:rFonts w:ascii="Times New Roman" w:eastAsia="Arial Unicode MS" w:hAnsi="Times New Roman" w:cs="Times New Roman"/>
          <w:color w:val="auto"/>
          <w:sz w:val="24"/>
          <w:szCs w:val="24"/>
        </w:rPr>
        <w:t>Insert Figure 4</w:t>
      </w:r>
      <w:r w:rsidR="00E27549" w:rsidRPr="002B710B">
        <w:rPr>
          <w:rFonts w:ascii="Times New Roman" w:eastAsia="Arial Unicode MS" w:hAnsi="Times New Roman" w:cs="Times New Roman"/>
          <w:color w:val="auto"/>
          <w:sz w:val="24"/>
          <w:szCs w:val="24"/>
        </w:rPr>
        <w:t xml:space="preserve"> about here</w:t>
      </w:r>
      <w:r>
        <w:rPr>
          <w:rFonts w:ascii="Times New Roman" w:eastAsia="Arial Unicode MS" w:hAnsi="Times New Roman" w:cs="Times New Roman"/>
          <w:color w:val="auto"/>
          <w:sz w:val="24"/>
          <w:szCs w:val="24"/>
        </w:rPr>
        <w:t>]</w:t>
      </w:r>
    </w:p>
    <w:p w14:paraId="4385F2CC" w14:textId="77777777" w:rsidR="00724526" w:rsidRDefault="00E002A3">
      <w:pPr>
        <w:spacing w:after="0" w:line="480" w:lineRule="auto"/>
        <w:rPr>
          <w:rFonts w:ascii="Times New Roman" w:hAnsi="Times New Roman" w:cs="Times New Roman"/>
          <w:color w:val="auto"/>
          <w:sz w:val="24"/>
          <w:szCs w:val="24"/>
        </w:rPr>
      </w:pPr>
      <w:r w:rsidRPr="002B710B">
        <w:rPr>
          <w:rFonts w:ascii="Times New Roman" w:hAnsi="Times New Roman" w:cs="Times New Roman"/>
          <w:color w:val="auto"/>
          <w:sz w:val="24"/>
          <w:szCs w:val="24"/>
        </w:rPr>
        <w:tab/>
        <w:t>Success rates for computer programming basics is similar for these groups, regardless of order</w:t>
      </w:r>
      <w:r w:rsidR="0019553D" w:rsidRPr="002B710B">
        <w:rPr>
          <w:rFonts w:ascii="Times New Roman" w:hAnsi="Times New Roman" w:cs="Times New Roman"/>
          <w:color w:val="auto"/>
          <w:sz w:val="24"/>
          <w:szCs w:val="24"/>
        </w:rPr>
        <w:t>,</w:t>
      </w:r>
      <w:r w:rsidRPr="002B710B">
        <w:rPr>
          <w:rFonts w:ascii="Times New Roman" w:hAnsi="Times New Roman" w:cs="Times New Roman"/>
          <w:color w:val="auto"/>
          <w:sz w:val="24"/>
          <w:szCs w:val="24"/>
        </w:rPr>
        <w:t xml:space="preserve"> with two noteworthy differences.  The success rates for calculus I, on the other hand, are slightly different depending on </w:t>
      </w:r>
      <w:r w:rsidR="0019553D" w:rsidRPr="002B710B">
        <w:rPr>
          <w:rFonts w:ascii="Times New Roman" w:hAnsi="Times New Roman" w:cs="Times New Roman"/>
          <w:color w:val="auto"/>
          <w:sz w:val="24"/>
          <w:szCs w:val="24"/>
        </w:rPr>
        <w:t>course-taking</w:t>
      </w:r>
      <w:r w:rsidRPr="002B710B">
        <w:rPr>
          <w:rFonts w:ascii="Times New Roman" w:hAnsi="Times New Roman" w:cs="Times New Roman"/>
          <w:color w:val="auto"/>
          <w:sz w:val="24"/>
          <w:szCs w:val="24"/>
        </w:rPr>
        <w:t xml:space="preserve"> behavior.  For example, among historically disadvantaged students</w:t>
      </w:r>
      <w:r w:rsidR="0019553D" w:rsidRPr="002B710B">
        <w:rPr>
          <w:rFonts w:ascii="Times New Roman" w:hAnsi="Times New Roman" w:cs="Times New Roman"/>
          <w:color w:val="auto"/>
          <w:sz w:val="24"/>
          <w:szCs w:val="24"/>
        </w:rPr>
        <w:t>,</w:t>
      </w:r>
      <w:r w:rsidRPr="002B710B">
        <w:rPr>
          <w:rFonts w:ascii="Times New Roman" w:hAnsi="Times New Roman" w:cs="Times New Roman"/>
          <w:color w:val="auto"/>
          <w:sz w:val="24"/>
          <w:szCs w:val="24"/>
        </w:rPr>
        <w:t xml:space="preserve"> 63% of students who attempt calculus I before computer programming basics successfully pass calculus I on their first attempt,  whereas</w:t>
      </w:r>
      <w:r w:rsidR="0019553D" w:rsidRPr="002B710B">
        <w:rPr>
          <w:rFonts w:ascii="Times New Roman" w:hAnsi="Times New Roman" w:cs="Times New Roman"/>
          <w:color w:val="auto"/>
          <w:sz w:val="24"/>
          <w:szCs w:val="24"/>
        </w:rPr>
        <w:t>,</w:t>
      </w:r>
      <w:r w:rsidRPr="002B710B">
        <w:rPr>
          <w:rFonts w:ascii="Times New Roman" w:hAnsi="Times New Roman" w:cs="Times New Roman"/>
          <w:color w:val="auto"/>
          <w:sz w:val="24"/>
          <w:szCs w:val="24"/>
        </w:rPr>
        <w:t xml:space="preserve"> among the same group of students who take computer programming basics first, we find that only 48% pass.   </w:t>
      </w:r>
    </w:p>
    <w:p w14:paraId="04C04E4F" w14:textId="77777777" w:rsidR="00724526" w:rsidRDefault="00E002A3">
      <w:pPr>
        <w:spacing w:after="0" w:line="480" w:lineRule="auto"/>
        <w:rPr>
          <w:rFonts w:ascii="Times New Roman" w:hAnsi="Times New Roman" w:cs="Times New Roman"/>
          <w:color w:val="auto"/>
          <w:sz w:val="24"/>
          <w:szCs w:val="24"/>
        </w:rPr>
      </w:pPr>
      <w:r w:rsidRPr="002B710B">
        <w:rPr>
          <w:rFonts w:ascii="Times New Roman" w:hAnsi="Times New Roman" w:cs="Times New Roman"/>
          <w:color w:val="auto"/>
          <w:sz w:val="24"/>
          <w:szCs w:val="24"/>
        </w:rPr>
        <w:tab/>
      </w:r>
      <w:r w:rsidR="005F3967" w:rsidRPr="002B710B">
        <w:rPr>
          <w:rFonts w:ascii="Times New Roman" w:hAnsi="Times New Roman" w:cs="Times New Roman"/>
          <w:color w:val="auto"/>
          <w:sz w:val="24"/>
          <w:szCs w:val="24"/>
        </w:rPr>
        <w:t xml:space="preserve">We also note that the most common </w:t>
      </w:r>
      <w:r w:rsidR="0019553D" w:rsidRPr="002B710B">
        <w:rPr>
          <w:rFonts w:ascii="Times New Roman" w:hAnsi="Times New Roman" w:cs="Times New Roman"/>
          <w:color w:val="auto"/>
          <w:sz w:val="24"/>
          <w:szCs w:val="24"/>
        </w:rPr>
        <w:t>course-taking</w:t>
      </w:r>
      <w:r w:rsidR="005F3967" w:rsidRPr="002B710B">
        <w:rPr>
          <w:rFonts w:ascii="Times New Roman" w:hAnsi="Times New Roman" w:cs="Times New Roman"/>
          <w:color w:val="auto"/>
          <w:sz w:val="24"/>
          <w:szCs w:val="24"/>
        </w:rPr>
        <w:t xml:space="preserve"> path has the most promising outcomes</w:t>
      </w:r>
      <w:r w:rsidR="0019553D" w:rsidRPr="002B710B">
        <w:rPr>
          <w:rFonts w:ascii="Times New Roman" w:hAnsi="Times New Roman" w:cs="Times New Roman"/>
          <w:color w:val="auto"/>
          <w:sz w:val="24"/>
          <w:szCs w:val="24"/>
        </w:rPr>
        <w:t>,</w:t>
      </w:r>
      <w:r w:rsidR="005F3967" w:rsidRPr="002B710B">
        <w:rPr>
          <w:rFonts w:ascii="Times New Roman" w:hAnsi="Times New Roman" w:cs="Times New Roman"/>
          <w:color w:val="auto"/>
          <w:sz w:val="24"/>
          <w:szCs w:val="24"/>
        </w:rPr>
        <w:t xml:space="preserve"> regardless of group.  For example</w:t>
      </w:r>
      <w:r w:rsidR="0019553D" w:rsidRPr="002B710B">
        <w:rPr>
          <w:rFonts w:ascii="Times New Roman" w:hAnsi="Times New Roman" w:cs="Times New Roman"/>
          <w:color w:val="auto"/>
          <w:sz w:val="24"/>
          <w:szCs w:val="24"/>
        </w:rPr>
        <w:t>,</w:t>
      </w:r>
      <w:r w:rsidR="005F3967" w:rsidRPr="002B710B">
        <w:rPr>
          <w:rFonts w:ascii="Times New Roman" w:hAnsi="Times New Roman" w:cs="Times New Roman"/>
          <w:color w:val="auto"/>
          <w:sz w:val="24"/>
          <w:szCs w:val="24"/>
        </w:rPr>
        <w:t xml:space="preserve"> the proportion of students who do not receive a certificate or transfer to a four-year institution is 10% lower when students attempt calculus before computer </w:t>
      </w:r>
      <w:r w:rsidR="005F3967" w:rsidRPr="002B710B">
        <w:rPr>
          <w:rFonts w:ascii="Times New Roman" w:hAnsi="Times New Roman" w:cs="Times New Roman"/>
          <w:color w:val="auto"/>
          <w:sz w:val="24"/>
          <w:szCs w:val="24"/>
        </w:rPr>
        <w:lastRenderedPageBreak/>
        <w:t xml:space="preserve">programming basics.  Clearly, this is not causal, but it does </w:t>
      </w:r>
      <w:r w:rsidR="0019553D" w:rsidRPr="002B710B">
        <w:rPr>
          <w:rFonts w:ascii="Times New Roman" w:hAnsi="Times New Roman" w:cs="Times New Roman"/>
          <w:color w:val="auto"/>
          <w:sz w:val="24"/>
          <w:szCs w:val="24"/>
        </w:rPr>
        <w:t>lead to questions as to</w:t>
      </w:r>
      <w:r w:rsidR="005F3967" w:rsidRPr="002B710B">
        <w:rPr>
          <w:rFonts w:ascii="Times New Roman" w:hAnsi="Times New Roman" w:cs="Times New Roman"/>
          <w:color w:val="auto"/>
          <w:sz w:val="24"/>
          <w:szCs w:val="24"/>
        </w:rPr>
        <w:t xml:space="preserve"> how the curriculum supports, or fails to support</w:t>
      </w:r>
      <w:r w:rsidR="0019553D" w:rsidRPr="002B710B">
        <w:rPr>
          <w:rFonts w:ascii="Times New Roman" w:hAnsi="Times New Roman" w:cs="Times New Roman"/>
          <w:color w:val="auto"/>
          <w:sz w:val="24"/>
          <w:szCs w:val="24"/>
        </w:rPr>
        <w:t>,</w:t>
      </w:r>
      <w:r w:rsidR="005F3967" w:rsidRPr="002B710B">
        <w:rPr>
          <w:rFonts w:ascii="Times New Roman" w:hAnsi="Times New Roman" w:cs="Times New Roman"/>
          <w:color w:val="auto"/>
          <w:sz w:val="24"/>
          <w:szCs w:val="24"/>
        </w:rPr>
        <w:t xml:space="preserve"> the pairing of these two courses. </w:t>
      </w:r>
    </w:p>
    <w:p w14:paraId="6088EA24" w14:textId="77777777" w:rsidR="00724526" w:rsidRDefault="005F3967">
      <w:pPr>
        <w:spacing w:after="0" w:line="480" w:lineRule="auto"/>
        <w:ind w:firstLine="720"/>
        <w:rPr>
          <w:rFonts w:ascii="Times New Roman" w:hAnsi="Times New Roman" w:cs="Times New Roman"/>
          <w:color w:val="auto"/>
          <w:sz w:val="24"/>
          <w:szCs w:val="24"/>
        </w:rPr>
      </w:pPr>
      <w:r w:rsidRPr="002B710B">
        <w:rPr>
          <w:rFonts w:ascii="Times New Roman" w:hAnsi="Times New Roman" w:cs="Times New Roman"/>
          <w:color w:val="auto"/>
          <w:sz w:val="24"/>
          <w:szCs w:val="24"/>
        </w:rPr>
        <w:t>Similar to the previous interdisciplinary course pairs</w:t>
      </w:r>
      <w:r w:rsidR="00F55A40" w:rsidRPr="002B710B">
        <w:rPr>
          <w:rFonts w:ascii="Times New Roman" w:hAnsi="Times New Roman" w:cs="Times New Roman"/>
          <w:color w:val="auto"/>
          <w:sz w:val="24"/>
          <w:szCs w:val="24"/>
        </w:rPr>
        <w:t>,</w:t>
      </w:r>
      <w:r w:rsidRPr="002B710B">
        <w:rPr>
          <w:rFonts w:ascii="Times New Roman" w:hAnsi="Times New Roman" w:cs="Times New Roman"/>
          <w:color w:val="auto"/>
          <w:sz w:val="24"/>
          <w:szCs w:val="24"/>
        </w:rPr>
        <w:t xml:space="preserve"> we find that women have higher rates of getting a certificate, e</w:t>
      </w:r>
      <w:r w:rsidR="007068F8" w:rsidRPr="002B710B">
        <w:rPr>
          <w:rFonts w:ascii="Times New Roman" w:hAnsi="Times New Roman" w:cs="Times New Roman"/>
          <w:color w:val="auto"/>
          <w:sz w:val="24"/>
          <w:szCs w:val="24"/>
        </w:rPr>
        <w:t xml:space="preserve">ven when women transfer the proportion that also </w:t>
      </w:r>
      <w:r w:rsidRPr="002B710B">
        <w:rPr>
          <w:rFonts w:ascii="Times New Roman" w:hAnsi="Times New Roman" w:cs="Times New Roman"/>
          <w:color w:val="auto"/>
          <w:sz w:val="24"/>
          <w:szCs w:val="24"/>
        </w:rPr>
        <w:t xml:space="preserve">get a certificate is 10% higher than their </w:t>
      </w:r>
      <w:r w:rsidR="00B935C9" w:rsidRPr="002B710B">
        <w:rPr>
          <w:rFonts w:ascii="Times New Roman" w:hAnsi="Times New Roman" w:cs="Times New Roman"/>
          <w:color w:val="auto"/>
          <w:sz w:val="24"/>
          <w:szCs w:val="24"/>
        </w:rPr>
        <w:t>male</w:t>
      </w:r>
      <w:r w:rsidRPr="002B710B">
        <w:rPr>
          <w:rFonts w:ascii="Times New Roman" w:hAnsi="Times New Roman" w:cs="Times New Roman"/>
          <w:color w:val="auto"/>
          <w:sz w:val="24"/>
          <w:szCs w:val="24"/>
        </w:rPr>
        <w:t xml:space="preserve"> counterparts.  Somewhat surprisingly, the proportion of women who take</w:t>
      </w:r>
      <w:r w:rsidR="00C43210" w:rsidRPr="002B710B">
        <w:rPr>
          <w:rFonts w:ascii="Times New Roman" w:hAnsi="Times New Roman" w:cs="Times New Roman"/>
          <w:color w:val="auto"/>
          <w:sz w:val="24"/>
          <w:szCs w:val="24"/>
        </w:rPr>
        <w:t xml:space="preserve"> these two courses have between a</w:t>
      </w:r>
      <w:r w:rsidR="001B102F" w:rsidRPr="002B710B">
        <w:rPr>
          <w:rFonts w:ascii="Times New Roman" w:hAnsi="Times New Roman" w:cs="Times New Roman"/>
          <w:color w:val="auto"/>
          <w:sz w:val="24"/>
          <w:szCs w:val="24"/>
        </w:rPr>
        <w:t>n</w:t>
      </w:r>
      <w:r w:rsidRPr="002B710B">
        <w:rPr>
          <w:rFonts w:ascii="Times New Roman" w:hAnsi="Times New Roman" w:cs="Times New Roman"/>
          <w:color w:val="auto"/>
          <w:sz w:val="24"/>
          <w:szCs w:val="24"/>
        </w:rPr>
        <w:t xml:space="preserve"> 8-9% advantage in transferring over men</w:t>
      </w:r>
      <w:r w:rsidR="007068F8" w:rsidRPr="002B710B">
        <w:rPr>
          <w:rFonts w:ascii="Times New Roman" w:hAnsi="Times New Roman" w:cs="Times New Roman"/>
          <w:color w:val="auto"/>
          <w:sz w:val="24"/>
          <w:szCs w:val="24"/>
        </w:rPr>
        <w:t xml:space="preserve"> though there are significantly less women overall</w:t>
      </w:r>
      <w:r w:rsidRPr="002B710B">
        <w:rPr>
          <w:rFonts w:ascii="Times New Roman" w:hAnsi="Times New Roman" w:cs="Times New Roman"/>
          <w:color w:val="auto"/>
          <w:sz w:val="24"/>
          <w:szCs w:val="24"/>
        </w:rPr>
        <w:t xml:space="preserve">.  </w:t>
      </w:r>
    </w:p>
    <w:p w14:paraId="7F8B3ED1" w14:textId="77777777" w:rsidR="007E6AD5" w:rsidRPr="002B710B" w:rsidRDefault="007E6AD5" w:rsidP="00113507">
      <w:pPr>
        <w:widowControl w:val="0"/>
        <w:spacing w:after="0" w:line="480" w:lineRule="auto"/>
        <w:jc w:val="center"/>
        <w:rPr>
          <w:rFonts w:ascii="Times New Roman" w:hAnsi="Times New Roman" w:cs="Times New Roman"/>
          <w:b/>
          <w:color w:val="auto"/>
          <w:sz w:val="24"/>
          <w:szCs w:val="24"/>
          <w:shd w:val="clear" w:color="auto" w:fill="FFFFFF"/>
        </w:rPr>
      </w:pPr>
      <w:r w:rsidRPr="002B710B">
        <w:rPr>
          <w:rFonts w:ascii="Times New Roman" w:hAnsi="Times New Roman" w:cs="Times New Roman"/>
          <w:b/>
          <w:color w:val="auto"/>
          <w:sz w:val="24"/>
          <w:szCs w:val="24"/>
          <w:shd w:val="clear" w:color="auto" w:fill="FFFFFF"/>
        </w:rPr>
        <w:t>D</w:t>
      </w:r>
      <w:r w:rsidR="00E27549" w:rsidRPr="002B710B">
        <w:rPr>
          <w:rFonts w:ascii="Times New Roman" w:hAnsi="Times New Roman" w:cs="Times New Roman"/>
          <w:b/>
          <w:color w:val="auto"/>
          <w:sz w:val="24"/>
          <w:szCs w:val="24"/>
          <w:shd w:val="clear" w:color="auto" w:fill="FFFFFF"/>
        </w:rPr>
        <w:t>iscussion</w:t>
      </w:r>
    </w:p>
    <w:p w14:paraId="17D3F806" w14:textId="720F4480" w:rsidR="00FC705C" w:rsidRDefault="001B102F" w:rsidP="00FC705C">
      <w:pPr>
        <w:spacing w:after="0" w:line="480" w:lineRule="auto"/>
        <w:ind w:firstLine="720"/>
        <w:rPr>
          <w:rFonts w:ascii="Times New Roman" w:eastAsia="Arial Unicode MS" w:hAnsi="Times New Roman" w:cs="Times New Roman"/>
          <w:color w:val="auto"/>
          <w:sz w:val="24"/>
          <w:szCs w:val="24"/>
        </w:rPr>
      </w:pPr>
      <w:r w:rsidRPr="002B710B">
        <w:rPr>
          <w:rFonts w:ascii="Times New Roman" w:eastAsia="Arial Unicode MS" w:hAnsi="Times New Roman" w:cs="Times New Roman"/>
          <w:color w:val="auto"/>
          <w:sz w:val="24"/>
          <w:szCs w:val="24"/>
        </w:rPr>
        <w:t xml:space="preserve">The potential for community colleges to increase the number of STEM professionals is well documented, however, much of the current work on STEM in community colleges focuses on single subjects or fields of study when most STEM degrees require interdisciplinary </w:t>
      </w:r>
      <w:r w:rsidR="0019553D" w:rsidRPr="002B710B">
        <w:rPr>
          <w:rFonts w:ascii="Times New Roman" w:eastAsia="Arial Unicode MS" w:hAnsi="Times New Roman" w:cs="Times New Roman"/>
          <w:color w:val="auto"/>
          <w:sz w:val="24"/>
          <w:szCs w:val="24"/>
        </w:rPr>
        <w:t>course-taking</w:t>
      </w:r>
      <w:r w:rsidRPr="002B710B">
        <w:rPr>
          <w:rFonts w:ascii="Times New Roman" w:eastAsia="Arial Unicode MS" w:hAnsi="Times New Roman" w:cs="Times New Roman"/>
          <w:color w:val="auto"/>
          <w:sz w:val="24"/>
          <w:szCs w:val="24"/>
        </w:rPr>
        <w:t xml:space="preserve"> (Bahr et al., 2016, Wang, 2015).  The purpose of this study </w:t>
      </w:r>
      <w:r w:rsidR="00EE2AA0" w:rsidRPr="002B710B">
        <w:rPr>
          <w:rFonts w:ascii="Times New Roman" w:eastAsia="Arial Unicode MS" w:hAnsi="Times New Roman" w:cs="Times New Roman"/>
          <w:color w:val="auto"/>
          <w:sz w:val="24"/>
          <w:szCs w:val="24"/>
        </w:rPr>
        <w:t xml:space="preserve">is </w:t>
      </w:r>
      <w:r w:rsidRPr="002B710B">
        <w:rPr>
          <w:rFonts w:ascii="Times New Roman" w:eastAsia="Arial Unicode MS" w:hAnsi="Times New Roman" w:cs="Times New Roman"/>
          <w:color w:val="auto"/>
          <w:sz w:val="24"/>
          <w:szCs w:val="24"/>
        </w:rPr>
        <w:t>to provide baseline information for how students are engaging in the interdisciplinary curriculum of STEM</w:t>
      </w:r>
      <w:r w:rsidR="002D054E">
        <w:rPr>
          <w:rFonts w:ascii="Times New Roman" w:eastAsia="Arial Unicode MS" w:hAnsi="Times New Roman" w:cs="Times New Roman"/>
          <w:color w:val="auto"/>
          <w:sz w:val="24"/>
          <w:szCs w:val="24"/>
        </w:rPr>
        <w:t xml:space="preserve">, identify crucial </w:t>
      </w:r>
      <w:r w:rsidR="00FC705C">
        <w:rPr>
          <w:rFonts w:ascii="Times New Roman" w:eastAsia="Arial Unicode MS" w:hAnsi="Times New Roman" w:cs="Times New Roman"/>
          <w:color w:val="auto"/>
          <w:sz w:val="24"/>
          <w:szCs w:val="24"/>
        </w:rPr>
        <w:t>interdisciplinary</w:t>
      </w:r>
      <w:r w:rsidR="002D054E">
        <w:rPr>
          <w:rFonts w:ascii="Times New Roman" w:eastAsia="Arial Unicode MS" w:hAnsi="Times New Roman" w:cs="Times New Roman"/>
          <w:color w:val="auto"/>
          <w:sz w:val="24"/>
          <w:szCs w:val="24"/>
        </w:rPr>
        <w:t xml:space="preserve"> STEM course pairs, analyze how </w:t>
      </w:r>
      <w:r w:rsidR="00FC705C">
        <w:rPr>
          <w:rFonts w:ascii="Times New Roman" w:eastAsia="Arial Unicode MS" w:hAnsi="Times New Roman" w:cs="Times New Roman"/>
          <w:color w:val="auto"/>
          <w:sz w:val="24"/>
          <w:szCs w:val="24"/>
        </w:rPr>
        <w:t>student’s</w:t>
      </w:r>
      <w:r w:rsidR="002D054E">
        <w:rPr>
          <w:rFonts w:ascii="Times New Roman" w:eastAsia="Arial Unicode MS" w:hAnsi="Times New Roman" w:cs="Times New Roman"/>
          <w:color w:val="auto"/>
          <w:sz w:val="24"/>
          <w:szCs w:val="24"/>
        </w:rPr>
        <w:t xml:space="preserve"> success in these courses differs by race, sex and </w:t>
      </w:r>
      <w:r w:rsidR="00FC705C">
        <w:rPr>
          <w:rFonts w:ascii="Times New Roman" w:eastAsia="Arial Unicode MS" w:hAnsi="Times New Roman" w:cs="Times New Roman"/>
          <w:color w:val="auto"/>
          <w:sz w:val="24"/>
          <w:szCs w:val="24"/>
        </w:rPr>
        <w:t xml:space="preserve">course-taking behaviors.  </w:t>
      </w:r>
      <w:r w:rsidRPr="002B710B">
        <w:rPr>
          <w:rFonts w:ascii="Times New Roman" w:eastAsia="Arial Unicode MS" w:hAnsi="Times New Roman" w:cs="Times New Roman"/>
          <w:color w:val="auto"/>
          <w:sz w:val="24"/>
          <w:szCs w:val="24"/>
        </w:rPr>
        <w:t xml:space="preserve"> </w:t>
      </w:r>
      <w:r w:rsidR="00FC705C">
        <w:rPr>
          <w:rFonts w:ascii="Times New Roman" w:eastAsia="Arial Unicode MS" w:hAnsi="Times New Roman" w:cs="Times New Roman"/>
          <w:color w:val="auto"/>
          <w:sz w:val="24"/>
          <w:szCs w:val="24"/>
        </w:rPr>
        <w:t xml:space="preserve"> </w:t>
      </w:r>
    </w:p>
    <w:p w14:paraId="3FB96F99" w14:textId="11D26E57" w:rsidR="00724526" w:rsidRDefault="00FC705C">
      <w:pPr>
        <w:spacing w:after="0" w:line="480" w:lineRule="auto"/>
        <w:ind w:firstLine="720"/>
        <w:rPr>
          <w:rFonts w:ascii="Times New Roman" w:eastAsia="Arial Unicode MS" w:hAnsi="Times New Roman" w:cs="Times New Roman"/>
          <w:color w:val="auto"/>
          <w:sz w:val="24"/>
          <w:szCs w:val="24"/>
        </w:rPr>
      </w:pPr>
      <w:r>
        <w:rPr>
          <w:rFonts w:ascii="Times New Roman" w:eastAsia="Arial Unicode MS" w:hAnsi="Times New Roman" w:cs="Times New Roman"/>
          <w:color w:val="auto"/>
          <w:sz w:val="24"/>
          <w:szCs w:val="24"/>
        </w:rPr>
        <w:t xml:space="preserve">We first find that </w:t>
      </w:r>
      <w:r w:rsidR="0061101C" w:rsidRPr="002B710B">
        <w:rPr>
          <w:rFonts w:ascii="Times New Roman" w:eastAsia="Arial Unicode MS" w:hAnsi="Times New Roman" w:cs="Times New Roman"/>
          <w:color w:val="auto"/>
          <w:sz w:val="24"/>
          <w:szCs w:val="24"/>
        </w:rPr>
        <w:t xml:space="preserve">while over one-third of students attempt at least one </w:t>
      </w:r>
      <w:r w:rsidR="005F7821">
        <w:rPr>
          <w:rFonts w:ascii="Times New Roman" w:eastAsia="Arial Unicode MS" w:hAnsi="Times New Roman" w:cs="Times New Roman"/>
          <w:color w:val="auto"/>
          <w:sz w:val="24"/>
          <w:szCs w:val="24"/>
        </w:rPr>
        <w:t>college-level</w:t>
      </w:r>
      <w:r w:rsidR="0061101C" w:rsidRPr="002B710B">
        <w:rPr>
          <w:rFonts w:ascii="Times New Roman" w:eastAsia="Arial Unicode MS" w:hAnsi="Times New Roman" w:cs="Times New Roman"/>
          <w:color w:val="auto"/>
          <w:sz w:val="24"/>
          <w:szCs w:val="24"/>
        </w:rPr>
        <w:t xml:space="preserve"> STEM course (</w:t>
      </w:r>
      <w:r w:rsidR="0061101C" w:rsidRPr="002B710B">
        <w:rPr>
          <w:rFonts w:ascii="Times New Roman" w:eastAsia="Arial Unicode MS" w:hAnsi="Times New Roman" w:cs="Times New Roman"/>
          <w:i/>
          <w:color w:val="auto"/>
          <w:sz w:val="24"/>
          <w:szCs w:val="24"/>
        </w:rPr>
        <w:t>N=</w:t>
      </w:r>
      <w:r w:rsidR="0061101C" w:rsidRPr="002B710B">
        <w:rPr>
          <w:rFonts w:ascii="Times New Roman" w:eastAsia="Arial Unicode MS" w:hAnsi="Times New Roman" w:cs="Times New Roman"/>
          <w:color w:val="auto"/>
          <w:sz w:val="24"/>
          <w:szCs w:val="24"/>
        </w:rPr>
        <w:t>1,003,987)</w:t>
      </w:r>
      <w:r w:rsidR="00BE05C3" w:rsidRPr="002B710B">
        <w:rPr>
          <w:rFonts w:ascii="Times New Roman" w:eastAsia="Arial Unicode MS" w:hAnsi="Times New Roman" w:cs="Times New Roman"/>
          <w:color w:val="auto"/>
          <w:sz w:val="24"/>
          <w:szCs w:val="24"/>
        </w:rPr>
        <w:t>,</w:t>
      </w:r>
      <w:r w:rsidR="001B102F" w:rsidRPr="002B710B">
        <w:rPr>
          <w:rFonts w:ascii="Times New Roman" w:eastAsia="Arial Unicode MS" w:hAnsi="Times New Roman" w:cs="Times New Roman"/>
          <w:color w:val="auto"/>
          <w:sz w:val="24"/>
          <w:szCs w:val="24"/>
        </w:rPr>
        <w:t xml:space="preserve"> </w:t>
      </w:r>
      <w:r w:rsidR="00BE05C3" w:rsidRPr="002B710B">
        <w:rPr>
          <w:rFonts w:ascii="Times New Roman" w:eastAsia="Arial Unicode MS" w:hAnsi="Times New Roman" w:cs="Times New Roman"/>
          <w:color w:val="auto"/>
          <w:sz w:val="24"/>
          <w:szCs w:val="24"/>
        </w:rPr>
        <w:t xml:space="preserve">barely half (53% </w:t>
      </w:r>
      <w:r w:rsidR="00702EB4">
        <w:rPr>
          <w:rFonts w:ascii="Times New Roman" w:eastAsia="Arial Unicode MS" w:hAnsi="Times New Roman" w:cs="Times New Roman"/>
          <w:color w:val="auto"/>
          <w:sz w:val="24"/>
          <w:szCs w:val="24"/>
        </w:rPr>
        <w:t>[</w:t>
      </w:r>
      <w:r w:rsidR="00BE05C3" w:rsidRPr="002B710B">
        <w:rPr>
          <w:rFonts w:ascii="Times New Roman" w:eastAsia="Arial Unicode MS" w:hAnsi="Times New Roman" w:cs="Times New Roman"/>
          <w:color w:val="auto"/>
          <w:sz w:val="24"/>
          <w:szCs w:val="24"/>
        </w:rPr>
        <w:t>534,907/1,003,987</w:t>
      </w:r>
      <w:r w:rsidR="00702EB4">
        <w:rPr>
          <w:rFonts w:ascii="Times New Roman" w:eastAsia="Arial Unicode MS" w:hAnsi="Times New Roman" w:cs="Times New Roman"/>
          <w:color w:val="auto"/>
          <w:sz w:val="24"/>
          <w:szCs w:val="24"/>
        </w:rPr>
        <w:t>]</w:t>
      </w:r>
      <w:r w:rsidR="00BE05C3" w:rsidRPr="002B710B">
        <w:rPr>
          <w:rFonts w:ascii="Times New Roman" w:eastAsia="Arial Unicode MS" w:hAnsi="Times New Roman" w:cs="Times New Roman"/>
          <w:color w:val="auto"/>
          <w:sz w:val="24"/>
          <w:szCs w:val="24"/>
        </w:rPr>
        <w:t xml:space="preserve">) even attempt courses in more than one STEM discipline.  This demonstrates </w:t>
      </w:r>
      <w:r w:rsidR="005A799B" w:rsidRPr="002B710B">
        <w:rPr>
          <w:rFonts w:ascii="Times New Roman" w:eastAsia="Arial Unicode MS" w:hAnsi="Times New Roman" w:cs="Times New Roman"/>
          <w:color w:val="auto"/>
          <w:sz w:val="24"/>
          <w:szCs w:val="24"/>
        </w:rPr>
        <w:t xml:space="preserve">a </w:t>
      </w:r>
      <w:r w:rsidR="00BE05C3" w:rsidRPr="002B710B">
        <w:rPr>
          <w:rFonts w:ascii="Times New Roman" w:eastAsia="Arial Unicode MS" w:hAnsi="Times New Roman" w:cs="Times New Roman"/>
          <w:color w:val="auto"/>
          <w:sz w:val="24"/>
          <w:szCs w:val="24"/>
        </w:rPr>
        <w:t xml:space="preserve">lack of engagement in the </w:t>
      </w:r>
      <w:r>
        <w:rPr>
          <w:rFonts w:ascii="Times New Roman" w:eastAsia="Arial Unicode MS" w:hAnsi="Times New Roman" w:cs="Times New Roman"/>
          <w:color w:val="auto"/>
          <w:sz w:val="24"/>
          <w:szCs w:val="24"/>
        </w:rPr>
        <w:t xml:space="preserve">interdisciplinary </w:t>
      </w:r>
      <w:r w:rsidR="00BE05C3" w:rsidRPr="002B710B">
        <w:rPr>
          <w:rFonts w:ascii="Times New Roman" w:eastAsia="Arial Unicode MS" w:hAnsi="Times New Roman" w:cs="Times New Roman"/>
          <w:color w:val="auto"/>
          <w:sz w:val="24"/>
          <w:szCs w:val="24"/>
        </w:rPr>
        <w:t xml:space="preserve">STEM curriculum and potential for increased </w:t>
      </w:r>
      <w:r>
        <w:rPr>
          <w:rFonts w:ascii="Times New Roman" w:eastAsia="Arial Unicode MS" w:hAnsi="Times New Roman" w:cs="Times New Roman"/>
          <w:color w:val="auto"/>
          <w:sz w:val="24"/>
          <w:szCs w:val="24"/>
        </w:rPr>
        <w:t xml:space="preserve">involvement in </w:t>
      </w:r>
      <w:r w:rsidR="00BE05C3" w:rsidRPr="002B710B">
        <w:rPr>
          <w:rFonts w:ascii="Times New Roman" w:eastAsia="Arial Unicode MS" w:hAnsi="Times New Roman" w:cs="Times New Roman"/>
          <w:color w:val="auto"/>
          <w:sz w:val="24"/>
          <w:szCs w:val="24"/>
        </w:rPr>
        <w:t xml:space="preserve">STEM </w:t>
      </w:r>
      <w:r>
        <w:rPr>
          <w:rFonts w:ascii="Times New Roman" w:eastAsia="Arial Unicode MS" w:hAnsi="Times New Roman" w:cs="Times New Roman"/>
          <w:color w:val="auto"/>
          <w:sz w:val="24"/>
          <w:szCs w:val="24"/>
        </w:rPr>
        <w:t>programs</w:t>
      </w:r>
      <w:r w:rsidR="00BE05C3" w:rsidRPr="002B710B">
        <w:rPr>
          <w:rFonts w:ascii="Times New Roman" w:eastAsia="Arial Unicode MS" w:hAnsi="Times New Roman" w:cs="Times New Roman"/>
          <w:color w:val="auto"/>
          <w:sz w:val="24"/>
          <w:szCs w:val="24"/>
        </w:rPr>
        <w:t xml:space="preserve">.  </w:t>
      </w:r>
    </w:p>
    <w:p w14:paraId="10D11D53" w14:textId="4C2DC101" w:rsidR="00FC705C" w:rsidRDefault="00FC705C" w:rsidP="00FC705C">
      <w:pPr>
        <w:spacing w:after="0" w:line="480" w:lineRule="auto"/>
        <w:ind w:firstLine="720"/>
        <w:rPr>
          <w:rFonts w:ascii="Times New Roman" w:eastAsia="Arial Unicode MS" w:hAnsi="Times New Roman" w:cs="Times New Roman"/>
          <w:color w:val="auto"/>
          <w:sz w:val="24"/>
          <w:szCs w:val="24"/>
        </w:rPr>
      </w:pPr>
      <w:r>
        <w:rPr>
          <w:rFonts w:ascii="Times New Roman" w:eastAsia="Arial Unicode MS" w:hAnsi="Times New Roman" w:cs="Times New Roman"/>
          <w:color w:val="auto"/>
          <w:sz w:val="24"/>
          <w:szCs w:val="24"/>
        </w:rPr>
        <w:t>Second, using our conceptual decision rules we identified three interdisciplinary course pairs that are critical for advancement in STEM.  Unfortunately</w:t>
      </w:r>
      <w:r w:rsidRPr="002B710B">
        <w:rPr>
          <w:rFonts w:ascii="Times New Roman" w:eastAsia="Arial Unicode MS" w:hAnsi="Times New Roman" w:cs="Times New Roman"/>
          <w:color w:val="auto"/>
          <w:sz w:val="24"/>
          <w:szCs w:val="24"/>
        </w:rPr>
        <w:t>, despite the necessity for interdisciplinary course-taking</w:t>
      </w:r>
      <w:r>
        <w:rPr>
          <w:rFonts w:ascii="Times New Roman" w:eastAsia="Arial Unicode MS" w:hAnsi="Times New Roman" w:cs="Times New Roman"/>
          <w:color w:val="auto"/>
          <w:sz w:val="24"/>
          <w:szCs w:val="24"/>
        </w:rPr>
        <w:t xml:space="preserve"> in the highest need STEM programs</w:t>
      </w:r>
      <w:r w:rsidRPr="002B710B">
        <w:rPr>
          <w:rFonts w:ascii="Times New Roman" w:eastAsia="Arial Unicode MS" w:hAnsi="Times New Roman" w:cs="Times New Roman"/>
          <w:color w:val="auto"/>
          <w:sz w:val="24"/>
          <w:szCs w:val="24"/>
        </w:rPr>
        <w:t xml:space="preserve">, less than 7% </w:t>
      </w:r>
      <w:r>
        <w:rPr>
          <w:rFonts w:ascii="Times New Roman" w:eastAsia="Arial Unicode MS" w:hAnsi="Times New Roman" w:cs="Times New Roman"/>
          <w:color w:val="auto"/>
          <w:sz w:val="24"/>
          <w:szCs w:val="24"/>
        </w:rPr>
        <w:t>[</w:t>
      </w:r>
      <w:r w:rsidRPr="002B710B">
        <w:rPr>
          <w:rFonts w:ascii="Times New Roman" w:eastAsia="Arial Unicode MS" w:hAnsi="Times New Roman" w:cs="Times New Roman"/>
          <w:color w:val="auto"/>
          <w:sz w:val="24"/>
          <w:szCs w:val="24"/>
        </w:rPr>
        <w:t>68,794/1,003,987</w:t>
      </w:r>
      <w:r>
        <w:rPr>
          <w:rFonts w:ascii="Times New Roman" w:eastAsia="Arial Unicode MS" w:hAnsi="Times New Roman" w:cs="Times New Roman"/>
          <w:color w:val="auto"/>
          <w:sz w:val="24"/>
          <w:szCs w:val="24"/>
        </w:rPr>
        <w:t>]</w:t>
      </w:r>
      <w:r w:rsidRPr="002B710B">
        <w:rPr>
          <w:rFonts w:ascii="Times New Roman" w:eastAsia="Arial Unicode MS" w:hAnsi="Times New Roman" w:cs="Times New Roman"/>
          <w:color w:val="auto"/>
          <w:sz w:val="24"/>
          <w:szCs w:val="24"/>
        </w:rPr>
        <w:t xml:space="preserve"> attempt one of the three identified three critical combinations.  </w:t>
      </w:r>
      <w:r>
        <w:rPr>
          <w:rFonts w:ascii="Times New Roman" w:eastAsia="Arial Unicode MS" w:hAnsi="Times New Roman" w:cs="Times New Roman"/>
          <w:color w:val="auto"/>
          <w:sz w:val="24"/>
          <w:szCs w:val="24"/>
        </w:rPr>
        <w:t xml:space="preserve">This </w:t>
      </w:r>
      <w:r>
        <w:rPr>
          <w:rFonts w:ascii="Times New Roman" w:eastAsia="Arial Unicode MS" w:hAnsi="Times New Roman" w:cs="Times New Roman"/>
          <w:color w:val="auto"/>
          <w:sz w:val="24"/>
          <w:szCs w:val="24"/>
        </w:rPr>
        <w:lastRenderedPageBreak/>
        <w:t xml:space="preserve">illustrated just how crucial it is for students to understand the interdisciplinary nature of these programs, and for the programs to be presented as such from a young age. </w:t>
      </w:r>
    </w:p>
    <w:p w14:paraId="47FB1241" w14:textId="3E531846" w:rsidR="00724526" w:rsidRDefault="00FC705C">
      <w:pPr>
        <w:spacing w:after="0" w:line="480" w:lineRule="auto"/>
        <w:ind w:firstLine="720"/>
        <w:rPr>
          <w:rFonts w:ascii="Times New Roman" w:eastAsia="Arial Unicode MS" w:hAnsi="Times New Roman" w:cs="Times New Roman"/>
          <w:color w:val="auto"/>
          <w:sz w:val="24"/>
          <w:szCs w:val="24"/>
        </w:rPr>
      </w:pPr>
      <w:r>
        <w:rPr>
          <w:rFonts w:ascii="Times New Roman" w:eastAsia="Arial Unicode MS" w:hAnsi="Times New Roman" w:cs="Times New Roman"/>
          <w:color w:val="auto"/>
          <w:sz w:val="24"/>
          <w:szCs w:val="24"/>
        </w:rPr>
        <w:t xml:space="preserve">Regarding student representation and outcomes by sex, </w:t>
      </w:r>
      <w:r w:rsidR="00BE05C3" w:rsidRPr="002B710B">
        <w:rPr>
          <w:rFonts w:ascii="Times New Roman" w:eastAsia="Arial Unicode MS" w:hAnsi="Times New Roman" w:cs="Times New Roman"/>
          <w:color w:val="auto"/>
          <w:sz w:val="24"/>
          <w:szCs w:val="24"/>
        </w:rPr>
        <w:t>our analysis</w:t>
      </w:r>
      <w:r>
        <w:rPr>
          <w:rFonts w:ascii="Times New Roman" w:eastAsia="Arial Unicode MS" w:hAnsi="Times New Roman" w:cs="Times New Roman"/>
          <w:color w:val="auto"/>
          <w:sz w:val="24"/>
          <w:szCs w:val="24"/>
        </w:rPr>
        <w:t xml:space="preserve"> found</w:t>
      </w:r>
      <w:r w:rsidR="00C43210" w:rsidRPr="002B710B">
        <w:rPr>
          <w:rFonts w:ascii="Times New Roman" w:eastAsia="Arial Unicode MS" w:hAnsi="Times New Roman" w:cs="Times New Roman"/>
          <w:color w:val="auto"/>
          <w:sz w:val="24"/>
          <w:szCs w:val="24"/>
        </w:rPr>
        <w:t xml:space="preserve"> that women are</w:t>
      </w:r>
      <w:r w:rsidR="00BE05C3" w:rsidRPr="002B710B">
        <w:rPr>
          <w:rFonts w:ascii="Times New Roman" w:eastAsia="Arial Unicode MS" w:hAnsi="Times New Roman" w:cs="Times New Roman"/>
          <w:color w:val="auto"/>
          <w:sz w:val="24"/>
          <w:szCs w:val="24"/>
        </w:rPr>
        <w:t xml:space="preserve"> especially</w:t>
      </w:r>
      <w:r w:rsidR="00C43210" w:rsidRPr="002B710B">
        <w:rPr>
          <w:rFonts w:ascii="Times New Roman" w:eastAsia="Arial Unicode MS" w:hAnsi="Times New Roman" w:cs="Times New Roman"/>
          <w:color w:val="auto"/>
          <w:sz w:val="24"/>
          <w:szCs w:val="24"/>
        </w:rPr>
        <w:t xml:space="preserve"> underrepresented in interdisciplinary course work amo</w:t>
      </w:r>
      <w:r w:rsidR="00BE05C3" w:rsidRPr="002B710B">
        <w:rPr>
          <w:rFonts w:ascii="Times New Roman" w:eastAsia="Arial Unicode MS" w:hAnsi="Times New Roman" w:cs="Times New Roman"/>
          <w:color w:val="auto"/>
          <w:sz w:val="24"/>
          <w:szCs w:val="24"/>
        </w:rPr>
        <w:t xml:space="preserve">ng students who take calculus </w:t>
      </w:r>
      <w:proofErr w:type="gramStart"/>
      <w:r w:rsidR="00BE05C3" w:rsidRPr="002B710B">
        <w:rPr>
          <w:rFonts w:ascii="Times New Roman" w:eastAsia="Arial Unicode MS" w:hAnsi="Times New Roman" w:cs="Times New Roman"/>
          <w:color w:val="auto"/>
          <w:sz w:val="24"/>
          <w:szCs w:val="24"/>
        </w:rPr>
        <w:t xml:space="preserve">I/ PS&amp;E </w:t>
      </w:r>
      <w:r w:rsidR="00C43210" w:rsidRPr="002B710B">
        <w:rPr>
          <w:rFonts w:ascii="Times New Roman" w:eastAsia="Arial Unicode MS" w:hAnsi="Times New Roman" w:cs="Times New Roman"/>
          <w:color w:val="auto"/>
          <w:sz w:val="24"/>
          <w:szCs w:val="24"/>
        </w:rPr>
        <w:t>I, and calculus I</w:t>
      </w:r>
      <w:r w:rsidR="00BE05C3" w:rsidRPr="002B710B">
        <w:rPr>
          <w:rFonts w:ascii="Times New Roman" w:eastAsia="Arial Unicode MS" w:hAnsi="Times New Roman" w:cs="Times New Roman"/>
          <w:color w:val="auto"/>
          <w:sz w:val="24"/>
          <w:szCs w:val="24"/>
        </w:rPr>
        <w:t>/</w:t>
      </w:r>
      <w:proofErr w:type="gramEnd"/>
      <w:r w:rsidR="00BE05C3" w:rsidRPr="002B710B">
        <w:rPr>
          <w:rFonts w:ascii="Times New Roman" w:eastAsia="Arial Unicode MS" w:hAnsi="Times New Roman" w:cs="Times New Roman"/>
          <w:color w:val="auto"/>
          <w:sz w:val="24"/>
          <w:szCs w:val="24"/>
        </w:rPr>
        <w:t xml:space="preserve"> computer programing basics</w:t>
      </w:r>
      <w:r w:rsidR="00C43210" w:rsidRPr="002B710B">
        <w:rPr>
          <w:rFonts w:ascii="Times New Roman" w:eastAsia="Arial Unicode MS" w:hAnsi="Times New Roman" w:cs="Times New Roman"/>
          <w:color w:val="auto"/>
          <w:sz w:val="24"/>
          <w:szCs w:val="24"/>
        </w:rPr>
        <w:t>.  This finding aligns with what other</w:t>
      </w:r>
      <w:r w:rsidR="005842DB" w:rsidRPr="002B710B">
        <w:rPr>
          <w:rFonts w:ascii="Times New Roman" w:eastAsia="Arial Unicode MS" w:hAnsi="Times New Roman" w:cs="Times New Roman"/>
          <w:color w:val="auto"/>
          <w:sz w:val="24"/>
          <w:szCs w:val="24"/>
        </w:rPr>
        <w:t>s</w:t>
      </w:r>
      <w:r w:rsidR="00C43210" w:rsidRPr="002B710B">
        <w:rPr>
          <w:rFonts w:ascii="Times New Roman" w:eastAsia="Arial Unicode MS" w:hAnsi="Times New Roman" w:cs="Times New Roman"/>
          <w:color w:val="auto"/>
          <w:sz w:val="24"/>
          <w:szCs w:val="24"/>
        </w:rPr>
        <w:t xml:space="preserve"> have found, </w:t>
      </w:r>
      <w:r w:rsidR="005842DB" w:rsidRPr="002B710B">
        <w:rPr>
          <w:rFonts w:ascii="Times New Roman" w:eastAsia="Arial Unicode MS" w:hAnsi="Times New Roman" w:cs="Times New Roman"/>
          <w:color w:val="auto"/>
          <w:sz w:val="24"/>
          <w:szCs w:val="24"/>
        </w:rPr>
        <w:t xml:space="preserve">i.e., </w:t>
      </w:r>
      <w:r w:rsidR="00C43210" w:rsidRPr="002B710B">
        <w:rPr>
          <w:rFonts w:ascii="Times New Roman" w:eastAsia="Arial Unicode MS" w:hAnsi="Times New Roman" w:cs="Times New Roman"/>
          <w:color w:val="auto"/>
          <w:sz w:val="24"/>
          <w:szCs w:val="24"/>
        </w:rPr>
        <w:t>that women are underrepresented in physics and computer science (Bahr et al., 2016), but it provides further evidence that it is not just one subject that is driving the la</w:t>
      </w:r>
      <w:r w:rsidR="00BE05C3" w:rsidRPr="002B710B">
        <w:rPr>
          <w:rFonts w:ascii="Times New Roman" w:eastAsia="Arial Unicode MS" w:hAnsi="Times New Roman" w:cs="Times New Roman"/>
          <w:color w:val="auto"/>
          <w:sz w:val="24"/>
          <w:szCs w:val="24"/>
        </w:rPr>
        <w:t xml:space="preserve">ck of participation among women.  For example, women make up 34% </w:t>
      </w:r>
      <w:r w:rsidR="00702EB4">
        <w:rPr>
          <w:rFonts w:ascii="Times New Roman" w:eastAsia="Arial Unicode MS" w:hAnsi="Times New Roman" w:cs="Times New Roman"/>
          <w:color w:val="auto"/>
          <w:sz w:val="24"/>
          <w:szCs w:val="24"/>
        </w:rPr>
        <w:t>[</w:t>
      </w:r>
      <w:r w:rsidR="00BE05C3" w:rsidRPr="002B710B">
        <w:rPr>
          <w:rFonts w:ascii="Times New Roman" w:eastAsia="Arial Unicode MS" w:hAnsi="Times New Roman" w:cs="Times New Roman"/>
          <w:color w:val="auto"/>
          <w:sz w:val="24"/>
          <w:szCs w:val="24"/>
        </w:rPr>
        <w:t>33,526/ 96,118</w:t>
      </w:r>
      <w:r w:rsidR="00702EB4">
        <w:rPr>
          <w:rFonts w:ascii="Times New Roman" w:eastAsia="Arial Unicode MS" w:hAnsi="Times New Roman" w:cs="Times New Roman"/>
          <w:color w:val="auto"/>
          <w:sz w:val="24"/>
          <w:szCs w:val="24"/>
        </w:rPr>
        <w:t>]</w:t>
      </w:r>
      <w:r w:rsidR="00BE05C3" w:rsidRPr="002B710B">
        <w:rPr>
          <w:rFonts w:ascii="Times New Roman" w:eastAsia="Arial Unicode MS" w:hAnsi="Times New Roman" w:cs="Times New Roman"/>
          <w:color w:val="auto"/>
          <w:sz w:val="24"/>
          <w:szCs w:val="24"/>
        </w:rPr>
        <w:t xml:space="preserve"> of enrollments in calculus I, but they make up less than 23% </w:t>
      </w:r>
      <w:r w:rsidR="00702EB4">
        <w:rPr>
          <w:rFonts w:ascii="Times New Roman" w:eastAsia="Arial Unicode MS" w:hAnsi="Times New Roman" w:cs="Times New Roman"/>
          <w:color w:val="auto"/>
          <w:sz w:val="24"/>
          <w:szCs w:val="24"/>
        </w:rPr>
        <w:t>[</w:t>
      </w:r>
      <w:r w:rsidR="00BE05C3" w:rsidRPr="002B710B">
        <w:rPr>
          <w:rFonts w:ascii="Times New Roman" w:eastAsia="Arial Unicode MS" w:hAnsi="Times New Roman" w:cs="Times New Roman"/>
          <w:color w:val="auto"/>
          <w:sz w:val="24"/>
          <w:szCs w:val="24"/>
        </w:rPr>
        <w:t>7,609/33,272</w:t>
      </w:r>
      <w:r w:rsidR="00702EB4">
        <w:rPr>
          <w:rFonts w:ascii="Times New Roman" w:eastAsia="Arial Unicode MS" w:hAnsi="Times New Roman" w:cs="Times New Roman"/>
          <w:color w:val="auto"/>
          <w:sz w:val="24"/>
          <w:szCs w:val="24"/>
        </w:rPr>
        <w:t>]</w:t>
      </w:r>
      <w:r w:rsidR="00BE05C3" w:rsidRPr="002B710B">
        <w:rPr>
          <w:rFonts w:ascii="Times New Roman" w:eastAsia="Arial Unicode MS" w:hAnsi="Times New Roman" w:cs="Times New Roman"/>
          <w:color w:val="auto"/>
          <w:sz w:val="24"/>
          <w:szCs w:val="24"/>
        </w:rPr>
        <w:t xml:space="preserve"> of the students who ever enroll in PS&amp;E I.  In addition, women are also more underrepresented in computer programming basics (31% </w:t>
      </w:r>
      <w:r w:rsidR="00702EB4">
        <w:rPr>
          <w:rFonts w:ascii="Times New Roman" w:eastAsia="Arial Unicode MS" w:hAnsi="Times New Roman" w:cs="Times New Roman"/>
          <w:color w:val="auto"/>
          <w:sz w:val="24"/>
          <w:szCs w:val="24"/>
        </w:rPr>
        <w:t>[</w:t>
      </w:r>
      <w:r w:rsidR="00BE05C3" w:rsidRPr="002B710B">
        <w:rPr>
          <w:rFonts w:ascii="Times New Roman" w:eastAsia="Arial Unicode MS" w:hAnsi="Times New Roman" w:cs="Times New Roman"/>
          <w:color w:val="auto"/>
          <w:sz w:val="24"/>
          <w:szCs w:val="24"/>
        </w:rPr>
        <w:t>36,358/117,447</w:t>
      </w:r>
      <w:r w:rsidR="00702EB4">
        <w:rPr>
          <w:rFonts w:ascii="Times New Roman" w:eastAsia="Arial Unicode MS" w:hAnsi="Times New Roman" w:cs="Times New Roman"/>
          <w:color w:val="auto"/>
          <w:sz w:val="24"/>
          <w:szCs w:val="24"/>
        </w:rPr>
        <w:t>]</w:t>
      </w:r>
      <w:r w:rsidR="00BE05C3" w:rsidRPr="002B710B">
        <w:rPr>
          <w:rFonts w:ascii="Times New Roman" w:eastAsia="Arial Unicode MS" w:hAnsi="Times New Roman" w:cs="Times New Roman"/>
          <w:color w:val="auto"/>
          <w:sz w:val="24"/>
          <w:szCs w:val="24"/>
        </w:rPr>
        <w:t xml:space="preserve"> than they are in calculus I, thus</w:t>
      </w:r>
      <w:r w:rsidR="005842DB" w:rsidRPr="002B710B">
        <w:rPr>
          <w:rFonts w:ascii="Times New Roman" w:eastAsia="Arial Unicode MS" w:hAnsi="Times New Roman" w:cs="Times New Roman"/>
          <w:color w:val="auto"/>
          <w:sz w:val="24"/>
          <w:szCs w:val="24"/>
        </w:rPr>
        <w:t>,</w:t>
      </w:r>
      <w:r w:rsidR="00BE05C3" w:rsidRPr="002B710B">
        <w:rPr>
          <w:rFonts w:ascii="Times New Roman" w:eastAsia="Arial Unicode MS" w:hAnsi="Times New Roman" w:cs="Times New Roman"/>
          <w:color w:val="auto"/>
          <w:sz w:val="24"/>
          <w:szCs w:val="24"/>
        </w:rPr>
        <w:t xml:space="preserve"> in addition to focusing on increased female participation in math, we must make even more headway in </w:t>
      </w:r>
      <w:r w:rsidR="00C43210" w:rsidRPr="002B710B">
        <w:rPr>
          <w:rFonts w:ascii="Times New Roman" w:eastAsia="Arial Unicode MS" w:hAnsi="Times New Roman" w:cs="Times New Roman"/>
          <w:color w:val="auto"/>
          <w:sz w:val="24"/>
          <w:szCs w:val="24"/>
        </w:rPr>
        <w:t xml:space="preserve">subjects like physics and computer science to increase </w:t>
      </w:r>
      <w:r w:rsidR="00BE05C3" w:rsidRPr="002B710B">
        <w:rPr>
          <w:rFonts w:ascii="Times New Roman" w:eastAsia="Arial Unicode MS" w:hAnsi="Times New Roman" w:cs="Times New Roman"/>
          <w:color w:val="auto"/>
          <w:sz w:val="24"/>
          <w:szCs w:val="24"/>
        </w:rPr>
        <w:t>representation in STEM professions</w:t>
      </w:r>
      <w:r w:rsidR="00C43210" w:rsidRPr="002B710B">
        <w:rPr>
          <w:rFonts w:ascii="Times New Roman" w:eastAsia="Arial Unicode MS" w:hAnsi="Times New Roman" w:cs="Times New Roman"/>
          <w:color w:val="auto"/>
          <w:sz w:val="24"/>
          <w:szCs w:val="24"/>
        </w:rPr>
        <w:t xml:space="preserve">. </w:t>
      </w:r>
    </w:p>
    <w:p w14:paraId="05F82102" w14:textId="77777777" w:rsidR="00724526" w:rsidRDefault="00BE05C3">
      <w:pPr>
        <w:spacing w:after="0" w:line="480" w:lineRule="auto"/>
        <w:ind w:firstLine="720"/>
        <w:rPr>
          <w:rFonts w:ascii="Times New Roman" w:eastAsia="Arial Unicode MS" w:hAnsi="Times New Roman" w:cs="Times New Roman"/>
          <w:color w:val="auto"/>
          <w:sz w:val="24"/>
          <w:szCs w:val="24"/>
        </w:rPr>
      </w:pPr>
      <w:r w:rsidRPr="002B710B">
        <w:rPr>
          <w:rFonts w:ascii="Times New Roman" w:eastAsia="Arial Unicode MS" w:hAnsi="Times New Roman" w:cs="Times New Roman"/>
          <w:color w:val="auto"/>
          <w:sz w:val="24"/>
          <w:szCs w:val="24"/>
        </w:rPr>
        <w:t>In a similar vein, w</w:t>
      </w:r>
      <w:r w:rsidR="00C43210" w:rsidRPr="002B710B">
        <w:rPr>
          <w:rFonts w:ascii="Times New Roman" w:eastAsia="Arial Unicode MS" w:hAnsi="Times New Roman" w:cs="Times New Roman"/>
          <w:color w:val="auto"/>
          <w:sz w:val="24"/>
          <w:szCs w:val="24"/>
        </w:rPr>
        <w:t>e find that historically disadvantaged students</w:t>
      </w:r>
      <w:r w:rsidRPr="002B710B">
        <w:rPr>
          <w:rFonts w:ascii="Times New Roman" w:eastAsia="Arial Unicode MS" w:hAnsi="Times New Roman" w:cs="Times New Roman"/>
          <w:color w:val="auto"/>
          <w:sz w:val="24"/>
          <w:szCs w:val="24"/>
        </w:rPr>
        <w:t xml:space="preserve"> are likewise underrepresented in our critical course pairs.  </w:t>
      </w:r>
      <w:r w:rsidR="00F12289" w:rsidRPr="002B710B">
        <w:rPr>
          <w:rFonts w:ascii="Times New Roman" w:eastAsia="Arial Unicode MS" w:hAnsi="Times New Roman" w:cs="Times New Roman"/>
          <w:color w:val="auto"/>
          <w:sz w:val="24"/>
          <w:szCs w:val="24"/>
        </w:rPr>
        <w:t>Though</w:t>
      </w:r>
      <w:r w:rsidRPr="002B710B">
        <w:rPr>
          <w:rFonts w:ascii="Times New Roman" w:eastAsia="Arial Unicode MS" w:hAnsi="Times New Roman" w:cs="Times New Roman"/>
          <w:color w:val="auto"/>
          <w:sz w:val="24"/>
          <w:szCs w:val="24"/>
        </w:rPr>
        <w:t xml:space="preserve"> historically disadvantaged students are</w:t>
      </w:r>
      <w:r w:rsidR="00F12289" w:rsidRPr="002B710B">
        <w:rPr>
          <w:rFonts w:ascii="Times New Roman" w:eastAsia="Arial Unicode MS" w:hAnsi="Times New Roman" w:cs="Times New Roman"/>
          <w:color w:val="auto"/>
          <w:sz w:val="24"/>
          <w:szCs w:val="24"/>
        </w:rPr>
        <w:t xml:space="preserve"> 37% </w:t>
      </w:r>
      <w:r w:rsidR="00702EB4">
        <w:rPr>
          <w:rFonts w:ascii="Times New Roman" w:eastAsia="Arial Unicode MS" w:hAnsi="Times New Roman" w:cs="Times New Roman"/>
          <w:color w:val="auto"/>
          <w:sz w:val="24"/>
          <w:szCs w:val="24"/>
        </w:rPr>
        <w:t>[</w:t>
      </w:r>
      <w:r w:rsidR="00F12289" w:rsidRPr="002B710B">
        <w:rPr>
          <w:rFonts w:ascii="Times New Roman" w:eastAsia="Arial Unicode MS" w:hAnsi="Times New Roman" w:cs="Times New Roman"/>
          <w:color w:val="auto"/>
          <w:sz w:val="24"/>
          <w:szCs w:val="24"/>
        </w:rPr>
        <w:t>376,034/1,003</w:t>
      </w:r>
      <w:r w:rsidR="00181AA2" w:rsidRPr="002B710B">
        <w:rPr>
          <w:rFonts w:ascii="Times New Roman" w:eastAsia="Arial Unicode MS" w:hAnsi="Times New Roman" w:cs="Times New Roman"/>
          <w:color w:val="auto"/>
          <w:sz w:val="24"/>
          <w:szCs w:val="24"/>
        </w:rPr>
        <w:t>,987</w:t>
      </w:r>
      <w:r w:rsidR="00702EB4">
        <w:rPr>
          <w:rFonts w:ascii="Times New Roman" w:eastAsia="Arial Unicode MS" w:hAnsi="Times New Roman" w:cs="Times New Roman"/>
          <w:color w:val="auto"/>
          <w:sz w:val="24"/>
          <w:szCs w:val="24"/>
        </w:rPr>
        <w:t>]</w:t>
      </w:r>
      <w:r w:rsidR="00181AA2" w:rsidRPr="002B710B">
        <w:rPr>
          <w:rFonts w:ascii="Times New Roman" w:eastAsia="Arial Unicode MS" w:hAnsi="Times New Roman" w:cs="Times New Roman"/>
          <w:color w:val="auto"/>
          <w:sz w:val="24"/>
          <w:szCs w:val="24"/>
        </w:rPr>
        <w:t xml:space="preserve"> of the students attempt a</w:t>
      </w:r>
      <w:r w:rsidR="00F12289" w:rsidRPr="002B710B">
        <w:rPr>
          <w:rFonts w:ascii="Times New Roman" w:eastAsia="Arial Unicode MS" w:hAnsi="Times New Roman" w:cs="Times New Roman"/>
          <w:color w:val="auto"/>
          <w:sz w:val="24"/>
          <w:szCs w:val="24"/>
        </w:rPr>
        <w:t>t least one STEM course and even represent 34</w:t>
      </w:r>
      <w:proofErr w:type="gramStart"/>
      <w:r w:rsidR="00F12289" w:rsidRPr="002B710B">
        <w:rPr>
          <w:rFonts w:ascii="Times New Roman" w:eastAsia="Arial Unicode MS" w:hAnsi="Times New Roman" w:cs="Times New Roman"/>
          <w:color w:val="auto"/>
          <w:sz w:val="24"/>
          <w:szCs w:val="24"/>
        </w:rPr>
        <w:t>%</w:t>
      </w:r>
      <w:r w:rsidR="00702EB4">
        <w:rPr>
          <w:rFonts w:ascii="Times New Roman" w:eastAsia="Arial Unicode MS" w:hAnsi="Times New Roman" w:cs="Times New Roman"/>
          <w:color w:val="auto"/>
          <w:sz w:val="24"/>
          <w:szCs w:val="24"/>
        </w:rPr>
        <w:t>[</w:t>
      </w:r>
      <w:proofErr w:type="gramEnd"/>
      <w:r w:rsidR="00F12289" w:rsidRPr="002B710B">
        <w:rPr>
          <w:rFonts w:ascii="Times New Roman" w:eastAsia="Arial Unicode MS" w:hAnsi="Times New Roman" w:cs="Times New Roman"/>
          <w:color w:val="auto"/>
          <w:sz w:val="24"/>
          <w:szCs w:val="24"/>
        </w:rPr>
        <w:t>183,869/534,907</w:t>
      </w:r>
      <w:r w:rsidR="00702EB4">
        <w:rPr>
          <w:rFonts w:ascii="Times New Roman" w:eastAsia="Arial Unicode MS" w:hAnsi="Times New Roman" w:cs="Times New Roman"/>
          <w:color w:val="auto"/>
          <w:sz w:val="24"/>
          <w:szCs w:val="24"/>
        </w:rPr>
        <w:t>]</w:t>
      </w:r>
      <w:r w:rsidR="00F12289" w:rsidRPr="002B710B">
        <w:rPr>
          <w:rFonts w:ascii="Times New Roman" w:eastAsia="Arial Unicode MS" w:hAnsi="Times New Roman" w:cs="Times New Roman"/>
          <w:color w:val="auto"/>
          <w:sz w:val="24"/>
          <w:szCs w:val="24"/>
        </w:rPr>
        <w:t xml:space="preserve"> of the students who attempt a STEM course in at least two </w:t>
      </w:r>
      <w:r w:rsidR="00181AA2" w:rsidRPr="002B710B">
        <w:rPr>
          <w:rFonts w:ascii="Times New Roman" w:eastAsia="Arial Unicode MS" w:hAnsi="Times New Roman" w:cs="Times New Roman"/>
          <w:color w:val="auto"/>
          <w:sz w:val="24"/>
          <w:szCs w:val="24"/>
        </w:rPr>
        <w:t>disciplines</w:t>
      </w:r>
      <w:r w:rsidR="00F12289" w:rsidRPr="002B710B">
        <w:rPr>
          <w:rFonts w:ascii="Times New Roman" w:eastAsia="Arial Unicode MS" w:hAnsi="Times New Roman" w:cs="Times New Roman"/>
          <w:color w:val="auto"/>
          <w:sz w:val="24"/>
          <w:szCs w:val="24"/>
        </w:rPr>
        <w:t xml:space="preserve">, they only make up 25% </w:t>
      </w:r>
      <w:r w:rsidR="00702EB4">
        <w:rPr>
          <w:rFonts w:ascii="Times New Roman" w:eastAsia="Arial Unicode MS" w:hAnsi="Times New Roman" w:cs="Times New Roman"/>
          <w:color w:val="auto"/>
          <w:sz w:val="24"/>
          <w:szCs w:val="24"/>
        </w:rPr>
        <w:t>[</w:t>
      </w:r>
      <w:r w:rsidR="00F12289" w:rsidRPr="002B710B">
        <w:rPr>
          <w:rFonts w:ascii="Times New Roman" w:eastAsia="Arial Unicode MS" w:hAnsi="Times New Roman" w:cs="Times New Roman"/>
          <w:color w:val="auto"/>
          <w:sz w:val="24"/>
          <w:szCs w:val="24"/>
        </w:rPr>
        <w:t>15,578/61,904</w:t>
      </w:r>
      <w:r w:rsidR="00702EB4">
        <w:rPr>
          <w:rFonts w:ascii="Times New Roman" w:eastAsia="Arial Unicode MS" w:hAnsi="Times New Roman" w:cs="Times New Roman"/>
          <w:color w:val="auto"/>
          <w:sz w:val="24"/>
          <w:szCs w:val="24"/>
        </w:rPr>
        <w:t>]</w:t>
      </w:r>
      <w:r w:rsidR="00F12289" w:rsidRPr="002B710B">
        <w:rPr>
          <w:rFonts w:ascii="Times New Roman" w:eastAsia="Arial Unicode MS" w:hAnsi="Times New Roman" w:cs="Times New Roman"/>
          <w:color w:val="auto"/>
          <w:sz w:val="24"/>
          <w:szCs w:val="24"/>
        </w:rPr>
        <w:t xml:space="preserve"> of the students who </w:t>
      </w:r>
      <w:r w:rsidR="007D794A">
        <w:rPr>
          <w:rFonts w:ascii="Times New Roman" w:eastAsia="Arial Unicode MS" w:hAnsi="Times New Roman" w:cs="Times New Roman"/>
          <w:color w:val="auto"/>
          <w:sz w:val="24"/>
          <w:szCs w:val="24"/>
        </w:rPr>
        <w:t>enroll</w:t>
      </w:r>
      <w:r w:rsidR="00F12289" w:rsidRPr="002B710B">
        <w:rPr>
          <w:rFonts w:ascii="Times New Roman" w:eastAsia="Arial Unicode MS" w:hAnsi="Times New Roman" w:cs="Times New Roman"/>
          <w:color w:val="auto"/>
          <w:sz w:val="24"/>
          <w:szCs w:val="24"/>
        </w:rPr>
        <w:t xml:space="preserve"> in one of our identified interdisciplinary course pairs.  This finding aligns with Bahr et al. (2016)</w:t>
      </w:r>
      <w:r w:rsidR="005842DB" w:rsidRPr="002B710B">
        <w:rPr>
          <w:rFonts w:ascii="Times New Roman" w:eastAsia="Arial Unicode MS" w:hAnsi="Times New Roman" w:cs="Times New Roman"/>
          <w:color w:val="auto"/>
          <w:sz w:val="24"/>
          <w:szCs w:val="24"/>
        </w:rPr>
        <w:t>,</w:t>
      </w:r>
      <w:r w:rsidR="00F12289" w:rsidRPr="002B710B">
        <w:rPr>
          <w:rFonts w:ascii="Times New Roman" w:eastAsia="Arial Unicode MS" w:hAnsi="Times New Roman" w:cs="Times New Roman"/>
          <w:color w:val="auto"/>
          <w:sz w:val="24"/>
          <w:szCs w:val="24"/>
        </w:rPr>
        <w:t xml:space="preserve"> which demonstrated that historically disadvantaged students left STEM pathways at higher rates than their historically advantaged counterparts.  What is also staggering is that we find that</w:t>
      </w:r>
      <w:r w:rsidR="005842DB" w:rsidRPr="002B710B">
        <w:rPr>
          <w:rFonts w:ascii="Times New Roman" w:eastAsia="Arial Unicode MS" w:hAnsi="Times New Roman" w:cs="Times New Roman"/>
          <w:color w:val="auto"/>
          <w:sz w:val="24"/>
          <w:szCs w:val="24"/>
        </w:rPr>
        <w:t>,</w:t>
      </w:r>
      <w:r w:rsidR="00C43210" w:rsidRPr="002B710B">
        <w:rPr>
          <w:rFonts w:ascii="Times New Roman" w:eastAsia="Arial Unicode MS" w:hAnsi="Times New Roman" w:cs="Times New Roman"/>
          <w:color w:val="auto"/>
          <w:sz w:val="24"/>
          <w:szCs w:val="24"/>
        </w:rPr>
        <w:t xml:space="preserve"> </w:t>
      </w:r>
      <w:r w:rsidR="00F12289" w:rsidRPr="002B710B">
        <w:rPr>
          <w:rFonts w:ascii="Times New Roman" w:eastAsia="Arial Unicode MS" w:hAnsi="Times New Roman" w:cs="Times New Roman"/>
          <w:color w:val="auto"/>
          <w:sz w:val="24"/>
          <w:szCs w:val="24"/>
        </w:rPr>
        <w:t>for these historically disadvantaged students, even</w:t>
      </w:r>
      <w:r w:rsidR="00C43210" w:rsidRPr="002B710B">
        <w:rPr>
          <w:rFonts w:ascii="Times New Roman" w:eastAsia="Arial Unicode MS" w:hAnsi="Times New Roman" w:cs="Times New Roman"/>
          <w:color w:val="auto"/>
          <w:sz w:val="24"/>
          <w:szCs w:val="24"/>
        </w:rPr>
        <w:t xml:space="preserve"> engaging in these </w:t>
      </w:r>
      <w:r w:rsidR="005842DB" w:rsidRPr="002B710B">
        <w:rPr>
          <w:rFonts w:ascii="Times New Roman" w:eastAsia="Arial Unicode MS" w:hAnsi="Times New Roman" w:cs="Times New Roman"/>
          <w:color w:val="auto"/>
          <w:sz w:val="24"/>
          <w:szCs w:val="24"/>
        </w:rPr>
        <w:t>more advanced</w:t>
      </w:r>
      <w:r w:rsidR="00C43210" w:rsidRPr="002B710B">
        <w:rPr>
          <w:rFonts w:ascii="Times New Roman" w:eastAsia="Arial Unicode MS" w:hAnsi="Times New Roman" w:cs="Times New Roman"/>
          <w:color w:val="auto"/>
          <w:sz w:val="24"/>
          <w:szCs w:val="24"/>
        </w:rPr>
        <w:t xml:space="preserve"> courses</w:t>
      </w:r>
      <w:r w:rsidR="005842DB" w:rsidRPr="002B710B">
        <w:rPr>
          <w:rFonts w:ascii="Times New Roman" w:eastAsia="Arial Unicode MS" w:hAnsi="Times New Roman" w:cs="Times New Roman"/>
          <w:color w:val="auto"/>
          <w:sz w:val="24"/>
          <w:szCs w:val="24"/>
        </w:rPr>
        <w:t xml:space="preserve">, </w:t>
      </w:r>
      <w:r w:rsidR="00F12289" w:rsidRPr="002B710B">
        <w:rPr>
          <w:rFonts w:ascii="Times New Roman" w:eastAsia="Arial Unicode MS" w:hAnsi="Times New Roman" w:cs="Times New Roman"/>
          <w:color w:val="auto"/>
          <w:sz w:val="24"/>
          <w:szCs w:val="24"/>
        </w:rPr>
        <w:t xml:space="preserve">they still </w:t>
      </w:r>
      <w:r w:rsidR="00C43210" w:rsidRPr="002B710B">
        <w:rPr>
          <w:rFonts w:ascii="Times New Roman" w:eastAsia="Arial Unicode MS" w:hAnsi="Times New Roman" w:cs="Times New Roman"/>
          <w:color w:val="auto"/>
          <w:sz w:val="24"/>
          <w:szCs w:val="24"/>
        </w:rPr>
        <w:t xml:space="preserve">have a higher </w:t>
      </w:r>
      <w:r w:rsidR="00C43210" w:rsidRPr="002B710B">
        <w:rPr>
          <w:rFonts w:ascii="Times New Roman" w:eastAsia="Arial Unicode MS" w:hAnsi="Times New Roman" w:cs="Times New Roman"/>
          <w:color w:val="auto"/>
          <w:sz w:val="24"/>
          <w:szCs w:val="24"/>
        </w:rPr>
        <w:lastRenderedPageBreak/>
        <w:t>proportion that neither receive a credential nor transfer</w:t>
      </w:r>
      <w:r w:rsidR="00F12289" w:rsidRPr="002B710B">
        <w:rPr>
          <w:rFonts w:ascii="Times New Roman" w:eastAsia="Arial Unicode MS" w:hAnsi="Times New Roman" w:cs="Times New Roman"/>
          <w:color w:val="auto"/>
          <w:sz w:val="24"/>
          <w:szCs w:val="24"/>
        </w:rPr>
        <w:t xml:space="preserve"> by around 8% when compared to their advantaged peers</w:t>
      </w:r>
      <w:r w:rsidR="00C43210" w:rsidRPr="002B710B">
        <w:rPr>
          <w:rFonts w:ascii="Times New Roman" w:eastAsia="Arial Unicode MS" w:hAnsi="Times New Roman" w:cs="Times New Roman"/>
          <w:color w:val="auto"/>
          <w:sz w:val="24"/>
          <w:szCs w:val="24"/>
        </w:rPr>
        <w:t>.</w:t>
      </w:r>
    </w:p>
    <w:p w14:paraId="1B16F197" w14:textId="70B64F84" w:rsidR="00724526" w:rsidRDefault="00FC705C">
      <w:pPr>
        <w:spacing w:after="0" w:line="480" w:lineRule="auto"/>
        <w:ind w:firstLine="720"/>
        <w:rPr>
          <w:rFonts w:ascii="Times New Roman" w:eastAsia="Arial Unicode MS" w:hAnsi="Times New Roman" w:cs="Times New Roman"/>
          <w:color w:val="auto"/>
          <w:sz w:val="24"/>
          <w:szCs w:val="24"/>
        </w:rPr>
      </w:pPr>
      <w:r>
        <w:rPr>
          <w:rFonts w:ascii="Times New Roman" w:eastAsia="Arial Unicode MS" w:hAnsi="Times New Roman" w:cs="Times New Roman"/>
          <w:color w:val="auto"/>
          <w:sz w:val="24"/>
          <w:szCs w:val="24"/>
        </w:rPr>
        <w:t>Finally, our results of course order reveal that for</w:t>
      </w:r>
      <w:r w:rsidR="00F12289" w:rsidRPr="002B710B">
        <w:rPr>
          <w:rFonts w:ascii="Times New Roman" w:eastAsia="Arial Unicode MS" w:hAnsi="Times New Roman" w:cs="Times New Roman"/>
          <w:color w:val="auto"/>
          <w:sz w:val="24"/>
          <w:szCs w:val="24"/>
        </w:rPr>
        <w:t xml:space="preserve"> at least two of the interdisciplinary course pairs (i.e., calculus I/ PS&amp;E I and general biology I/ general chemistry I) there is a dominant order for how the courses are taken by students, likely associated with prerequisites at some colleges and advising.  However, we still find variation in </w:t>
      </w:r>
      <w:r w:rsidR="0019553D" w:rsidRPr="002B710B">
        <w:rPr>
          <w:rFonts w:ascii="Times New Roman" w:eastAsia="Arial Unicode MS" w:hAnsi="Times New Roman" w:cs="Times New Roman"/>
          <w:color w:val="auto"/>
          <w:sz w:val="24"/>
          <w:szCs w:val="24"/>
        </w:rPr>
        <w:t>course-taking</w:t>
      </w:r>
      <w:r w:rsidR="00F12289" w:rsidRPr="002B710B">
        <w:rPr>
          <w:rFonts w:ascii="Times New Roman" w:eastAsia="Arial Unicode MS" w:hAnsi="Times New Roman" w:cs="Times New Roman"/>
          <w:color w:val="auto"/>
          <w:sz w:val="24"/>
          <w:szCs w:val="24"/>
        </w:rPr>
        <w:t xml:space="preserve"> behaviors</w:t>
      </w:r>
      <w:r w:rsidR="00DA4BE0" w:rsidRPr="002B710B">
        <w:rPr>
          <w:rFonts w:ascii="Times New Roman" w:eastAsia="Arial Unicode MS" w:hAnsi="Times New Roman" w:cs="Times New Roman"/>
          <w:color w:val="auto"/>
          <w:sz w:val="24"/>
          <w:szCs w:val="24"/>
        </w:rPr>
        <w:t>,</w:t>
      </w:r>
      <w:r w:rsidR="00F12289" w:rsidRPr="002B710B">
        <w:rPr>
          <w:rFonts w:ascii="Times New Roman" w:eastAsia="Arial Unicode MS" w:hAnsi="Times New Roman" w:cs="Times New Roman"/>
          <w:color w:val="auto"/>
          <w:sz w:val="24"/>
          <w:szCs w:val="24"/>
        </w:rPr>
        <w:t xml:space="preserve"> and th</w:t>
      </w:r>
      <w:r w:rsidR="00C43210" w:rsidRPr="002B710B">
        <w:rPr>
          <w:rFonts w:ascii="Times New Roman" w:eastAsia="Arial Unicode MS" w:hAnsi="Times New Roman" w:cs="Times New Roman"/>
          <w:color w:val="auto"/>
          <w:sz w:val="24"/>
          <w:szCs w:val="24"/>
        </w:rPr>
        <w:t>at course success is associated with the order in which these courses are taken. While we do not claim this</w:t>
      </w:r>
      <w:r w:rsidR="00F12289" w:rsidRPr="002B710B">
        <w:rPr>
          <w:rFonts w:ascii="Times New Roman" w:eastAsia="Arial Unicode MS" w:hAnsi="Times New Roman" w:cs="Times New Roman"/>
          <w:color w:val="auto"/>
          <w:sz w:val="24"/>
          <w:szCs w:val="24"/>
        </w:rPr>
        <w:t xml:space="preserve"> relationship</w:t>
      </w:r>
      <w:r w:rsidR="00C43210" w:rsidRPr="002B710B">
        <w:rPr>
          <w:rFonts w:ascii="Times New Roman" w:eastAsia="Arial Unicode MS" w:hAnsi="Times New Roman" w:cs="Times New Roman"/>
          <w:color w:val="auto"/>
          <w:sz w:val="24"/>
          <w:szCs w:val="24"/>
        </w:rPr>
        <w:t xml:space="preserve"> to be causal, this is an important resource for advisors</w:t>
      </w:r>
      <w:r w:rsidR="00F12289" w:rsidRPr="002B710B">
        <w:rPr>
          <w:rFonts w:ascii="Times New Roman" w:eastAsia="Arial Unicode MS" w:hAnsi="Times New Roman" w:cs="Times New Roman"/>
          <w:color w:val="auto"/>
          <w:sz w:val="24"/>
          <w:szCs w:val="24"/>
        </w:rPr>
        <w:t xml:space="preserve"> and faculty</w:t>
      </w:r>
      <w:r w:rsidR="00C43210" w:rsidRPr="002B710B">
        <w:rPr>
          <w:rFonts w:ascii="Times New Roman" w:eastAsia="Arial Unicode MS" w:hAnsi="Times New Roman" w:cs="Times New Roman"/>
          <w:color w:val="auto"/>
          <w:sz w:val="24"/>
          <w:szCs w:val="24"/>
        </w:rPr>
        <w:t xml:space="preserve"> to demonstrate the need for students to think about how </w:t>
      </w:r>
      <w:r w:rsidR="00F12289" w:rsidRPr="002B710B">
        <w:rPr>
          <w:rFonts w:ascii="Times New Roman" w:eastAsia="Arial Unicode MS" w:hAnsi="Times New Roman" w:cs="Times New Roman"/>
          <w:color w:val="auto"/>
          <w:sz w:val="24"/>
          <w:szCs w:val="24"/>
        </w:rPr>
        <w:t xml:space="preserve">interdisciplinary </w:t>
      </w:r>
      <w:r w:rsidR="00C43210" w:rsidRPr="002B710B">
        <w:rPr>
          <w:rFonts w:ascii="Times New Roman" w:eastAsia="Arial Unicode MS" w:hAnsi="Times New Roman" w:cs="Times New Roman"/>
          <w:color w:val="auto"/>
          <w:sz w:val="24"/>
          <w:szCs w:val="24"/>
        </w:rPr>
        <w:t xml:space="preserve">curriculum </w:t>
      </w:r>
      <w:r w:rsidR="00F12289" w:rsidRPr="002B710B">
        <w:rPr>
          <w:rFonts w:ascii="Times New Roman" w:eastAsia="Arial Unicode MS" w:hAnsi="Times New Roman" w:cs="Times New Roman"/>
          <w:color w:val="auto"/>
          <w:sz w:val="24"/>
          <w:szCs w:val="24"/>
        </w:rPr>
        <w:t>can influence success in multiple disciplines.  For example, we found that for students who took calculus I before PS&amp;E I, the proportion that are successful is between 6 and 10% higher than when they take the two courses inversed or simultaneously.  Further, for those students who take calculus I first, the proportion successful in PS&amp;E</w:t>
      </w:r>
      <w:r w:rsidR="00C43210" w:rsidRPr="002B710B">
        <w:rPr>
          <w:rFonts w:ascii="Times New Roman" w:eastAsia="Arial Unicode MS" w:hAnsi="Times New Roman" w:cs="Times New Roman"/>
          <w:color w:val="auto"/>
          <w:sz w:val="24"/>
          <w:szCs w:val="24"/>
        </w:rPr>
        <w:t xml:space="preserve"> </w:t>
      </w:r>
      <w:r w:rsidR="00F12289" w:rsidRPr="002B710B">
        <w:rPr>
          <w:rFonts w:ascii="Times New Roman" w:eastAsia="Arial Unicode MS" w:hAnsi="Times New Roman" w:cs="Times New Roman"/>
          <w:color w:val="auto"/>
          <w:sz w:val="24"/>
          <w:szCs w:val="24"/>
        </w:rPr>
        <w:t xml:space="preserve">I is even more drastic, ranging between 10-28%  higher than when the courses are taken in a different order.  </w:t>
      </w:r>
    </w:p>
    <w:p w14:paraId="5A3EF99B" w14:textId="77777777" w:rsidR="00724526" w:rsidRDefault="00181AA2">
      <w:pPr>
        <w:spacing w:after="0" w:line="480" w:lineRule="auto"/>
        <w:ind w:firstLine="720"/>
        <w:rPr>
          <w:rFonts w:ascii="Times New Roman" w:eastAsia="Arial Unicode MS" w:hAnsi="Times New Roman" w:cs="Times New Roman"/>
          <w:color w:val="auto"/>
          <w:sz w:val="24"/>
          <w:szCs w:val="24"/>
        </w:rPr>
      </w:pPr>
      <w:r w:rsidRPr="002B710B">
        <w:rPr>
          <w:rFonts w:ascii="Times New Roman" w:eastAsia="Arial Unicode MS" w:hAnsi="Times New Roman" w:cs="Times New Roman"/>
          <w:color w:val="auto"/>
          <w:sz w:val="24"/>
          <w:szCs w:val="24"/>
        </w:rPr>
        <w:t>Regarding differences between men and women</w:t>
      </w:r>
      <w:r w:rsidR="00DA4BE0" w:rsidRPr="002B710B">
        <w:rPr>
          <w:rFonts w:ascii="Times New Roman" w:eastAsia="Arial Unicode MS" w:hAnsi="Times New Roman" w:cs="Times New Roman"/>
          <w:color w:val="auto"/>
          <w:sz w:val="24"/>
          <w:szCs w:val="24"/>
        </w:rPr>
        <w:t>,</w:t>
      </w:r>
      <w:r w:rsidRPr="002B710B">
        <w:rPr>
          <w:rFonts w:ascii="Times New Roman" w:eastAsia="Arial Unicode MS" w:hAnsi="Times New Roman" w:cs="Times New Roman"/>
          <w:color w:val="auto"/>
          <w:sz w:val="24"/>
          <w:szCs w:val="24"/>
        </w:rPr>
        <w:t xml:space="preserve"> w</w:t>
      </w:r>
      <w:r w:rsidR="00C43210" w:rsidRPr="002B710B">
        <w:rPr>
          <w:rFonts w:ascii="Times New Roman" w:eastAsia="Arial Unicode MS" w:hAnsi="Times New Roman" w:cs="Times New Roman"/>
          <w:color w:val="auto"/>
          <w:sz w:val="24"/>
          <w:szCs w:val="24"/>
        </w:rPr>
        <w:t>e find that women seek credentials more than men</w:t>
      </w:r>
      <w:r w:rsidRPr="002B710B">
        <w:rPr>
          <w:rFonts w:ascii="Times New Roman" w:eastAsia="Arial Unicode MS" w:hAnsi="Times New Roman" w:cs="Times New Roman"/>
          <w:color w:val="auto"/>
          <w:sz w:val="24"/>
          <w:szCs w:val="24"/>
        </w:rPr>
        <w:t>.  This finding is not surprising</w:t>
      </w:r>
      <w:r w:rsidR="00DA4BE0" w:rsidRPr="002B710B">
        <w:rPr>
          <w:rFonts w:ascii="Times New Roman" w:eastAsia="Arial Unicode MS" w:hAnsi="Times New Roman" w:cs="Times New Roman"/>
          <w:color w:val="auto"/>
          <w:sz w:val="24"/>
          <w:szCs w:val="24"/>
        </w:rPr>
        <w:t>,</w:t>
      </w:r>
      <w:r w:rsidRPr="002B710B">
        <w:rPr>
          <w:rFonts w:ascii="Times New Roman" w:eastAsia="Arial Unicode MS" w:hAnsi="Times New Roman" w:cs="Times New Roman"/>
          <w:color w:val="auto"/>
          <w:sz w:val="24"/>
          <w:szCs w:val="24"/>
        </w:rPr>
        <w:t xml:space="preserve"> given that many of the</w:t>
      </w:r>
      <w:r w:rsidR="007068F8" w:rsidRPr="002B710B">
        <w:rPr>
          <w:rFonts w:ascii="Times New Roman" w:eastAsia="Arial Unicode MS" w:hAnsi="Times New Roman" w:cs="Times New Roman"/>
          <w:color w:val="auto"/>
          <w:sz w:val="24"/>
          <w:szCs w:val="24"/>
        </w:rPr>
        <w:t xml:space="preserve"> jobs that require only an associate</w:t>
      </w:r>
      <w:r w:rsidR="008B2867">
        <w:rPr>
          <w:rFonts w:ascii="Times New Roman" w:eastAsia="Arial Unicode MS" w:hAnsi="Times New Roman" w:cs="Times New Roman"/>
          <w:color w:val="auto"/>
          <w:sz w:val="24"/>
          <w:szCs w:val="24"/>
        </w:rPr>
        <w:t>’</w:t>
      </w:r>
      <w:r w:rsidR="007068F8" w:rsidRPr="002B710B">
        <w:rPr>
          <w:rFonts w:ascii="Times New Roman" w:eastAsia="Arial Unicode MS" w:hAnsi="Times New Roman" w:cs="Times New Roman"/>
          <w:color w:val="auto"/>
          <w:sz w:val="24"/>
          <w:szCs w:val="24"/>
        </w:rPr>
        <w:t>s degree or credential (e.g., certified nurse assistant)</w:t>
      </w:r>
      <w:r w:rsidRPr="002B710B">
        <w:rPr>
          <w:rFonts w:ascii="Times New Roman" w:eastAsia="Arial Unicode MS" w:hAnsi="Times New Roman" w:cs="Times New Roman"/>
          <w:color w:val="auto"/>
          <w:sz w:val="24"/>
          <w:szCs w:val="24"/>
        </w:rPr>
        <w:t xml:space="preserve"> historically have more women than men </w:t>
      </w:r>
      <w:r w:rsidRPr="002B710B">
        <w:rPr>
          <w:rFonts w:ascii="Times New Roman" w:hAnsi="Times New Roman" w:cs="Times New Roman"/>
          <w:bCs/>
          <w:sz w:val="24"/>
          <w:szCs w:val="24"/>
        </w:rPr>
        <w:t>(Bureau of Labor St</w:t>
      </w:r>
      <w:r w:rsidR="004878D9" w:rsidRPr="002B710B">
        <w:rPr>
          <w:rFonts w:ascii="Times New Roman" w:hAnsi="Times New Roman" w:cs="Times New Roman"/>
          <w:bCs/>
          <w:sz w:val="24"/>
          <w:szCs w:val="24"/>
        </w:rPr>
        <w:t>atistics, 2015), however, it is</w:t>
      </w:r>
      <w:r w:rsidRPr="002B710B">
        <w:rPr>
          <w:rFonts w:ascii="Times New Roman" w:hAnsi="Times New Roman" w:cs="Times New Roman"/>
          <w:bCs/>
          <w:sz w:val="24"/>
          <w:szCs w:val="24"/>
        </w:rPr>
        <w:t xml:space="preserve"> surprising that even when women transfer they are much more likely to do so with a credential when compared to males (7-10%</w:t>
      </w:r>
      <w:r w:rsidR="009D7353" w:rsidRPr="002B710B">
        <w:rPr>
          <w:rFonts w:ascii="Times New Roman" w:hAnsi="Times New Roman" w:cs="Times New Roman"/>
          <w:bCs/>
          <w:sz w:val="24"/>
          <w:szCs w:val="24"/>
        </w:rPr>
        <w:t xml:space="preserve"> higher</w:t>
      </w:r>
      <w:r w:rsidRPr="002B710B">
        <w:rPr>
          <w:rFonts w:ascii="Times New Roman" w:hAnsi="Times New Roman" w:cs="Times New Roman"/>
          <w:bCs/>
          <w:sz w:val="24"/>
          <w:szCs w:val="24"/>
        </w:rPr>
        <w:t xml:space="preserve">).  </w:t>
      </w:r>
      <w:r w:rsidRPr="002B710B">
        <w:rPr>
          <w:rFonts w:ascii="Times New Roman" w:eastAsia="Arial Unicode MS" w:hAnsi="Times New Roman" w:cs="Times New Roman"/>
          <w:color w:val="auto"/>
          <w:sz w:val="24"/>
          <w:szCs w:val="24"/>
        </w:rPr>
        <w:t xml:space="preserve">This is noteworthy because there is either something institutional happening at colleges that encourages women to seek credentials, or there is something about a credential that women find appealing when compared to men, like a sense of security or a back-up plan should their STEM aspirations not develop.  </w:t>
      </w:r>
    </w:p>
    <w:p w14:paraId="3CFAA1A6" w14:textId="77777777" w:rsidR="00724526" w:rsidRDefault="00C43210">
      <w:pPr>
        <w:spacing w:after="0" w:line="480" w:lineRule="auto"/>
        <w:ind w:firstLine="720"/>
        <w:rPr>
          <w:rFonts w:ascii="Times New Roman" w:eastAsia="Arial Unicode MS" w:hAnsi="Times New Roman" w:cs="Times New Roman"/>
          <w:color w:val="auto"/>
          <w:sz w:val="24"/>
          <w:szCs w:val="24"/>
        </w:rPr>
      </w:pPr>
      <w:r w:rsidRPr="002B710B">
        <w:rPr>
          <w:rFonts w:ascii="Times New Roman" w:eastAsia="Arial Unicode MS" w:hAnsi="Times New Roman" w:cs="Times New Roman"/>
          <w:color w:val="auto"/>
          <w:sz w:val="24"/>
          <w:szCs w:val="24"/>
        </w:rPr>
        <w:lastRenderedPageBreak/>
        <w:t xml:space="preserve">Along these lines, </w:t>
      </w:r>
      <w:r w:rsidR="00181AA2" w:rsidRPr="002B710B">
        <w:rPr>
          <w:rFonts w:ascii="Times New Roman" w:eastAsia="Arial Unicode MS" w:hAnsi="Times New Roman" w:cs="Times New Roman"/>
          <w:color w:val="auto"/>
          <w:sz w:val="24"/>
          <w:szCs w:val="24"/>
        </w:rPr>
        <w:t xml:space="preserve">while </w:t>
      </w:r>
      <w:r w:rsidRPr="002B710B">
        <w:rPr>
          <w:rFonts w:ascii="Times New Roman" w:eastAsia="Arial Unicode MS" w:hAnsi="Times New Roman" w:cs="Times New Roman"/>
          <w:color w:val="auto"/>
          <w:sz w:val="24"/>
          <w:szCs w:val="24"/>
        </w:rPr>
        <w:t>men seem to not seek credential</w:t>
      </w:r>
      <w:r w:rsidR="00181AA2" w:rsidRPr="002B710B">
        <w:rPr>
          <w:rFonts w:ascii="Times New Roman" w:eastAsia="Arial Unicode MS" w:hAnsi="Times New Roman" w:cs="Times New Roman"/>
          <w:color w:val="auto"/>
          <w:sz w:val="24"/>
          <w:szCs w:val="24"/>
        </w:rPr>
        <w:t>s,</w:t>
      </w:r>
      <w:r w:rsidRPr="002B710B">
        <w:rPr>
          <w:rFonts w:ascii="Times New Roman" w:eastAsia="Arial Unicode MS" w:hAnsi="Times New Roman" w:cs="Times New Roman"/>
          <w:color w:val="auto"/>
          <w:sz w:val="24"/>
          <w:szCs w:val="24"/>
        </w:rPr>
        <w:t xml:space="preserve"> they</w:t>
      </w:r>
      <w:r w:rsidR="00181AA2" w:rsidRPr="002B710B">
        <w:rPr>
          <w:rFonts w:ascii="Times New Roman" w:eastAsia="Arial Unicode MS" w:hAnsi="Times New Roman" w:cs="Times New Roman"/>
          <w:color w:val="auto"/>
          <w:sz w:val="24"/>
          <w:szCs w:val="24"/>
        </w:rPr>
        <w:t xml:space="preserve"> either transfer or they</w:t>
      </w:r>
      <w:r w:rsidRPr="002B710B">
        <w:rPr>
          <w:rFonts w:ascii="Times New Roman" w:eastAsia="Arial Unicode MS" w:hAnsi="Times New Roman" w:cs="Times New Roman"/>
          <w:color w:val="auto"/>
          <w:sz w:val="24"/>
          <w:szCs w:val="24"/>
        </w:rPr>
        <w:t xml:space="preserve"> leave the community college without credential</w:t>
      </w:r>
      <w:r w:rsidR="00181AA2" w:rsidRPr="002B710B">
        <w:rPr>
          <w:rFonts w:ascii="Times New Roman" w:eastAsia="Arial Unicode MS" w:hAnsi="Times New Roman" w:cs="Times New Roman"/>
          <w:color w:val="auto"/>
          <w:sz w:val="24"/>
          <w:szCs w:val="24"/>
        </w:rPr>
        <w:t>.  Sadly, men have much higher rates of departure without a credential or transferring than women in all three interdisciplinary course pairs (4-9%</w:t>
      </w:r>
      <w:r w:rsidR="009D7353" w:rsidRPr="002B710B">
        <w:rPr>
          <w:rFonts w:ascii="Times New Roman" w:eastAsia="Arial Unicode MS" w:hAnsi="Times New Roman" w:cs="Times New Roman"/>
          <w:color w:val="auto"/>
          <w:sz w:val="24"/>
          <w:szCs w:val="24"/>
        </w:rPr>
        <w:t xml:space="preserve"> higher</w:t>
      </w:r>
      <w:r w:rsidR="00181AA2" w:rsidRPr="002B710B">
        <w:rPr>
          <w:rFonts w:ascii="Times New Roman" w:eastAsia="Arial Unicode MS" w:hAnsi="Times New Roman" w:cs="Times New Roman"/>
          <w:color w:val="auto"/>
          <w:sz w:val="24"/>
          <w:szCs w:val="24"/>
        </w:rPr>
        <w:t xml:space="preserve">). </w:t>
      </w:r>
      <w:r w:rsidRPr="002B710B">
        <w:rPr>
          <w:rFonts w:ascii="Times New Roman" w:eastAsia="Arial Unicode MS" w:hAnsi="Times New Roman" w:cs="Times New Roman"/>
          <w:color w:val="auto"/>
          <w:sz w:val="24"/>
          <w:szCs w:val="24"/>
        </w:rPr>
        <w:t xml:space="preserve"> </w:t>
      </w:r>
      <w:r w:rsidR="00181AA2" w:rsidRPr="002B710B">
        <w:rPr>
          <w:rFonts w:ascii="Times New Roman" w:eastAsia="Arial Unicode MS" w:hAnsi="Times New Roman" w:cs="Times New Roman"/>
          <w:color w:val="auto"/>
          <w:sz w:val="24"/>
          <w:szCs w:val="24"/>
        </w:rPr>
        <w:t xml:space="preserve"> Similar to the findings of Bahr et al. (2016), we also find that historically disadvantaged students are more likely to depart the community college than their advantaged peers (7-8%).  This is troubling because while </w:t>
      </w:r>
      <w:r w:rsidR="004B7C25" w:rsidRPr="002B710B">
        <w:rPr>
          <w:rFonts w:ascii="Times New Roman" w:eastAsia="Arial Unicode MS" w:hAnsi="Times New Roman" w:cs="Times New Roman"/>
          <w:color w:val="auto"/>
          <w:sz w:val="24"/>
          <w:szCs w:val="24"/>
        </w:rPr>
        <w:t>we also find that historically disadvantaged students and males have a higher proportions of departure early on, even among these advanced courses where students demonstrate competence in multiple disciplines, there is still a substantial number of students who leave without a credential or to continue their education.</w:t>
      </w:r>
    </w:p>
    <w:p w14:paraId="5A25B63E" w14:textId="73CD505F" w:rsidR="0058468E" w:rsidRPr="0058468E" w:rsidRDefault="0058468E" w:rsidP="0058468E">
      <w:pPr>
        <w:spacing w:after="0" w:line="480" w:lineRule="auto"/>
        <w:jc w:val="center"/>
        <w:rPr>
          <w:rFonts w:ascii="Times New Roman" w:eastAsia="Arial Unicode MS" w:hAnsi="Times New Roman" w:cs="Times New Roman"/>
          <w:b/>
          <w:color w:val="auto"/>
          <w:sz w:val="24"/>
          <w:szCs w:val="24"/>
        </w:rPr>
      </w:pPr>
      <w:r>
        <w:rPr>
          <w:rFonts w:ascii="Times New Roman" w:eastAsia="Arial Unicode MS" w:hAnsi="Times New Roman" w:cs="Times New Roman"/>
          <w:b/>
          <w:color w:val="auto"/>
          <w:sz w:val="24"/>
          <w:szCs w:val="24"/>
        </w:rPr>
        <w:t>Implications for Practice</w:t>
      </w:r>
    </w:p>
    <w:p w14:paraId="76183E2F" w14:textId="77777777" w:rsidR="00724526" w:rsidRDefault="004B7C25">
      <w:pPr>
        <w:spacing w:after="0" w:line="480" w:lineRule="auto"/>
        <w:rPr>
          <w:rFonts w:ascii="Times New Roman" w:eastAsia="Arial Unicode MS" w:hAnsi="Times New Roman" w:cs="Times New Roman"/>
          <w:color w:val="auto"/>
          <w:sz w:val="24"/>
          <w:szCs w:val="24"/>
        </w:rPr>
      </w:pPr>
      <w:r w:rsidRPr="002B710B">
        <w:rPr>
          <w:rFonts w:ascii="Times New Roman" w:eastAsia="Arial Unicode MS" w:hAnsi="Times New Roman" w:cs="Times New Roman"/>
          <w:color w:val="auto"/>
          <w:sz w:val="24"/>
          <w:szCs w:val="24"/>
        </w:rPr>
        <w:tab/>
        <w:t>There is no easy answer to solving the STEM shortage, but these findings demonstrate the role that community colleges currently play in advancing students toward STEM professions through an interdisciplinary perspective. Through this baseline data</w:t>
      </w:r>
      <w:r w:rsidR="009D7353" w:rsidRPr="002B710B">
        <w:rPr>
          <w:rFonts w:ascii="Times New Roman" w:eastAsia="Arial Unicode MS" w:hAnsi="Times New Roman" w:cs="Times New Roman"/>
          <w:color w:val="auto"/>
          <w:sz w:val="24"/>
          <w:szCs w:val="24"/>
        </w:rPr>
        <w:t>,</w:t>
      </w:r>
      <w:r w:rsidRPr="002B710B">
        <w:rPr>
          <w:rFonts w:ascii="Times New Roman" w:eastAsia="Arial Unicode MS" w:hAnsi="Times New Roman" w:cs="Times New Roman"/>
          <w:color w:val="auto"/>
          <w:sz w:val="24"/>
          <w:szCs w:val="24"/>
        </w:rPr>
        <w:t xml:space="preserve"> we also are able to provide a few practical implications from our findings.  First, it is clear by the number of students who </w:t>
      </w:r>
      <w:r w:rsidR="007D794A">
        <w:rPr>
          <w:rFonts w:ascii="Times New Roman" w:eastAsia="Arial Unicode MS" w:hAnsi="Times New Roman" w:cs="Times New Roman"/>
          <w:color w:val="auto"/>
          <w:sz w:val="24"/>
          <w:szCs w:val="24"/>
        </w:rPr>
        <w:t>enrolle</w:t>
      </w:r>
      <w:r w:rsidRPr="002B710B">
        <w:rPr>
          <w:rFonts w:ascii="Times New Roman" w:eastAsia="Arial Unicode MS" w:hAnsi="Times New Roman" w:cs="Times New Roman"/>
          <w:color w:val="auto"/>
          <w:sz w:val="24"/>
          <w:szCs w:val="24"/>
        </w:rPr>
        <w:t>d in the interdisciplinary course pairs that there are dominant behaviors and course orders that are likely informed by faculty, staff, and the college catalog. However, this information provides data for how students fair as they engaged with the curriculum using alternative pathways</w:t>
      </w:r>
      <w:r w:rsidR="004878D9" w:rsidRPr="002B710B">
        <w:rPr>
          <w:rFonts w:ascii="Times New Roman" w:eastAsia="Arial Unicode MS" w:hAnsi="Times New Roman" w:cs="Times New Roman"/>
          <w:color w:val="auto"/>
          <w:sz w:val="24"/>
          <w:szCs w:val="24"/>
        </w:rPr>
        <w:t>, which typically result in lower success rates and higher departure</w:t>
      </w:r>
      <w:r w:rsidRPr="002B710B">
        <w:rPr>
          <w:rFonts w:ascii="Times New Roman" w:eastAsia="Arial Unicode MS" w:hAnsi="Times New Roman" w:cs="Times New Roman"/>
          <w:color w:val="auto"/>
          <w:sz w:val="24"/>
          <w:szCs w:val="24"/>
        </w:rPr>
        <w:t xml:space="preserve">.  Further, it demonstrates the need for advisors and faculty to be explicit and intentional in how courses can build on each other so that students understand how coursework from one discipline informs another. </w:t>
      </w:r>
    </w:p>
    <w:p w14:paraId="1B168BF6" w14:textId="77777777" w:rsidR="00724526" w:rsidRDefault="004B7C25">
      <w:pPr>
        <w:spacing w:after="0" w:line="480" w:lineRule="auto"/>
        <w:rPr>
          <w:rFonts w:ascii="Times New Roman" w:eastAsia="Arial Unicode MS" w:hAnsi="Times New Roman" w:cs="Times New Roman"/>
          <w:color w:val="auto"/>
          <w:sz w:val="24"/>
          <w:szCs w:val="24"/>
        </w:rPr>
      </w:pPr>
      <w:r w:rsidRPr="002B710B">
        <w:rPr>
          <w:rFonts w:ascii="Times New Roman" w:eastAsia="Arial Unicode MS" w:hAnsi="Times New Roman" w:cs="Times New Roman"/>
          <w:color w:val="auto"/>
          <w:sz w:val="24"/>
          <w:szCs w:val="24"/>
        </w:rPr>
        <w:tab/>
        <w:t xml:space="preserve">Second, while many institutions have taken a deficit approach through the use of early alert systems to identify students who are struggling, this study demonstrates </w:t>
      </w:r>
      <w:r w:rsidR="007068F8" w:rsidRPr="002B710B">
        <w:rPr>
          <w:rFonts w:ascii="Times New Roman" w:eastAsia="Arial Unicode MS" w:hAnsi="Times New Roman" w:cs="Times New Roman"/>
          <w:color w:val="auto"/>
          <w:sz w:val="24"/>
          <w:szCs w:val="24"/>
        </w:rPr>
        <w:t xml:space="preserve">evidence that we </w:t>
      </w:r>
      <w:r w:rsidR="007068F8" w:rsidRPr="002B710B">
        <w:rPr>
          <w:rFonts w:ascii="Times New Roman" w:eastAsia="Arial Unicode MS" w:hAnsi="Times New Roman" w:cs="Times New Roman"/>
          <w:color w:val="auto"/>
          <w:sz w:val="24"/>
          <w:szCs w:val="24"/>
        </w:rPr>
        <w:lastRenderedPageBreak/>
        <w:t>should also</w:t>
      </w:r>
      <w:r w:rsidRPr="002B710B">
        <w:rPr>
          <w:rFonts w:ascii="Times New Roman" w:eastAsia="Arial Unicode MS" w:hAnsi="Times New Roman" w:cs="Times New Roman"/>
          <w:color w:val="auto"/>
          <w:sz w:val="24"/>
          <w:szCs w:val="24"/>
        </w:rPr>
        <w:t xml:space="preserve"> seek to identify potential STEM</w:t>
      </w:r>
      <w:r w:rsidR="009D7353" w:rsidRPr="002B710B">
        <w:rPr>
          <w:rFonts w:ascii="Times New Roman" w:eastAsia="Arial Unicode MS" w:hAnsi="Times New Roman" w:cs="Times New Roman"/>
          <w:color w:val="auto"/>
          <w:sz w:val="24"/>
          <w:szCs w:val="24"/>
        </w:rPr>
        <w:t>-</w:t>
      </w:r>
      <w:r w:rsidRPr="002B710B">
        <w:rPr>
          <w:rFonts w:ascii="Times New Roman" w:eastAsia="Arial Unicode MS" w:hAnsi="Times New Roman" w:cs="Times New Roman"/>
          <w:color w:val="auto"/>
          <w:sz w:val="24"/>
          <w:szCs w:val="24"/>
        </w:rPr>
        <w:t>seeking students</w:t>
      </w:r>
      <w:r w:rsidR="007068F8" w:rsidRPr="002B710B">
        <w:rPr>
          <w:rFonts w:ascii="Times New Roman" w:eastAsia="Arial Unicode MS" w:hAnsi="Times New Roman" w:cs="Times New Roman"/>
          <w:color w:val="auto"/>
          <w:sz w:val="24"/>
          <w:szCs w:val="24"/>
        </w:rPr>
        <w:t xml:space="preserve"> who take advanced courses and may still fall through the cracks</w:t>
      </w:r>
      <w:r w:rsidR="004878D9" w:rsidRPr="002B710B">
        <w:rPr>
          <w:rFonts w:ascii="Times New Roman" w:eastAsia="Arial Unicode MS" w:hAnsi="Times New Roman" w:cs="Times New Roman"/>
          <w:color w:val="auto"/>
          <w:sz w:val="24"/>
          <w:szCs w:val="24"/>
        </w:rPr>
        <w:t>.  For example, almost 80% of the students who took the course pairs in the calculus I/ PS&amp;E I course pair, and the calculus I/ computer programing basics course pair firs</w:t>
      </w:r>
      <w:r w:rsidR="009D7353" w:rsidRPr="002B710B">
        <w:rPr>
          <w:rFonts w:ascii="Times New Roman" w:eastAsia="Arial Unicode MS" w:hAnsi="Times New Roman" w:cs="Times New Roman"/>
          <w:color w:val="auto"/>
          <w:sz w:val="24"/>
          <w:szCs w:val="24"/>
        </w:rPr>
        <w:t>t</w:t>
      </w:r>
      <w:r w:rsidR="004878D9" w:rsidRPr="002B710B">
        <w:rPr>
          <w:rFonts w:ascii="Times New Roman" w:eastAsia="Arial Unicode MS" w:hAnsi="Times New Roman" w:cs="Times New Roman"/>
          <w:color w:val="auto"/>
          <w:sz w:val="24"/>
          <w:szCs w:val="24"/>
        </w:rPr>
        <w:t xml:space="preserve"> enrolled in trigonometry or higher.  </w:t>
      </w:r>
      <w:r w:rsidR="007068F8" w:rsidRPr="002B710B">
        <w:rPr>
          <w:rFonts w:ascii="Times New Roman" w:eastAsia="Arial Unicode MS" w:hAnsi="Times New Roman" w:cs="Times New Roman"/>
          <w:color w:val="auto"/>
          <w:sz w:val="24"/>
          <w:szCs w:val="24"/>
        </w:rPr>
        <w:t xml:space="preserve">Of those students who took trigonometry, almost one in four (24% </w:t>
      </w:r>
      <w:r w:rsidR="00702EB4">
        <w:rPr>
          <w:rFonts w:ascii="Times New Roman" w:eastAsia="Arial Unicode MS" w:hAnsi="Times New Roman" w:cs="Times New Roman"/>
          <w:color w:val="auto"/>
          <w:sz w:val="24"/>
          <w:szCs w:val="24"/>
        </w:rPr>
        <w:t>[</w:t>
      </w:r>
      <w:r w:rsidR="007068F8" w:rsidRPr="002B710B">
        <w:rPr>
          <w:rFonts w:ascii="Times New Roman" w:eastAsia="Arial Unicode MS" w:hAnsi="Times New Roman" w:cs="Times New Roman"/>
          <w:color w:val="auto"/>
          <w:sz w:val="24"/>
          <w:szCs w:val="24"/>
        </w:rPr>
        <w:t>3,931/16,436</w:t>
      </w:r>
      <w:r w:rsidR="00702EB4">
        <w:rPr>
          <w:rFonts w:ascii="Times New Roman" w:eastAsia="Arial Unicode MS" w:hAnsi="Times New Roman" w:cs="Times New Roman"/>
          <w:color w:val="auto"/>
          <w:sz w:val="24"/>
          <w:szCs w:val="24"/>
        </w:rPr>
        <w:t>]</w:t>
      </w:r>
      <w:r w:rsidR="007068F8" w:rsidRPr="002B710B">
        <w:rPr>
          <w:rFonts w:ascii="Times New Roman" w:eastAsia="Arial Unicode MS" w:hAnsi="Times New Roman" w:cs="Times New Roman"/>
          <w:color w:val="auto"/>
          <w:sz w:val="24"/>
          <w:szCs w:val="24"/>
        </w:rPr>
        <w:t xml:space="preserve">) neither transfer, nor get a credential. </w:t>
      </w:r>
      <w:r w:rsidR="004878D9" w:rsidRPr="002B710B">
        <w:rPr>
          <w:rFonts w:ascii="Times New Roman" w:eastAsia="Arial Unicode MS" w:hAnsi="Times New Roman" w:cs="Times New Roman"/>
          <w:color w:val="auto"/>
          <w:sz w:val="24"/>
          <w:szCs w:val="24"/>
        </w:rPr>
        <w:t>Thus, there are many students who demonstrate high math ability by enrolling in high</w:t>
      </w:r>
      <w:r w:rsidR="00BD149D" w:rsidRPr="002B710B">
        <w:rPr>
          <w:rFonts w:ascii="Times New Roman" w:eastAsia="Arial Unicode MS" w:hAnsi="Times New Roman" w:cs="Times New Roman"/>
          <w:color w:val="auto"/>
          <w:sz w:val="24"/>
          <w:szCs w:val="24"/>
        </w:rPr>
        <w:t>-</w:t>
      </w:r>
      <w:r w:rsidR="004878D9" w:rsidRPr="002B710B">
        <w:rPr>
          <w:rFonts w:ascii="Times New Roman" w:eastAsia="Arial Unicode MS" w:hAnsi="Times New Roman" w:cs="Times New Roman"/>
          <w:color w:val="auto"/>
          <w:sz w:val="24"/>
          <w:szCs w:val="24"/>
        </w:rPr>
        <w:t>level math courses, but are likely “weeded out” instead of encouraged to continue forward in STEM fields. In other words, in colleges</w:t>
      </w:r>
      <w:r w:rsidR="00BD149D" w:rsidRPr="002B710B">
        <w:rPr>
          <w:rFonts w:ascii="Times New Roman" w:eastAsia="Arial Unicode MS" w:hAnsi="Times New Roman" w:cs="Times New Roman"/>
          <w:color w:val="auto"/>
          <w:sz w:val="24"/>
          <w:szCs w:val="24"/>
        </w:rPr>
        <w:t>,</w:t>
      </w:r>
      <w:r w:rsidR="004878D9" w:rsidRPr="002B710B">
        <w:rPr>
          <w:rFonts w:ascii="Times New Roman" w:eastAsia="Arial Unicode MS" w:hAnsi="Times New Roman" w:cs="Times New Roman"/>
          <w:color w:val="auto"/>
          <w:sz w:val="24"/>
          <w:szCs w:val="24"/>
        </w:rPr>
        <w:t xml:space="preserve"> we are quick to support those who are struggling through institutionalized alert systems, but we are not as vigilant in identifying and encouraging high achieving students to pursue societal priorities like entering STEM fields. </w:t>
      </w:r>
      <w:bookmarkStart w:id="4" w:name="_GoBack"/>
      <w:bookmarkEnd w:id="4"/>
    </w:p>
    <w:p w14:paraId="4B040BA6" w14:textId="77777777" w:rsidR="00724526" w:rsidRDefault="004878D9">
      <w:pPr>
        <w:spacing w:after="0" w:line="480" w:lineRule="auto"/>
        <w:rPr>
          <w:rFonts w:ascii="Times New Roman" w:eastAsia="Arial Unicode MS" w:hAnsi="Times New Roman" w:cs="Times New Roman"/>
          <w:color w:val="auto"/>
          <w:sz w:val="24"/>
          <w:szCs w:val="24"/>
        </w:rPr>
      </w:pPr>
      <w:r w:rsidRPr="002B710B">
        <w:rPr>
          <w:rFonts w:ascii="Times New Roman" w:eastAsia="Arial Unicode MS" w:hAnsi="Times New Roman" w:cs="Times New Roman"/>
          <w:color w:val="auto"/>
          <w:sz w:val="24"/>
          <w:szCs w:val="24"/>
        </w:rPr>
        <w:tab/>
        <w:t xml:space="preserve">Finally, this research </w:t>
      </w:r>
      <w:r w:rsidR="00197574" w:rsidRPr="002B710B">
        <w:rPr>
          <w:rFonts w:ascii="Times New Roman" w:eastAsia="Arial Unicode MS" w:hAnsi="Times New Roman" w:cs="Times New Roman"/>
          <w:color w:val="auto"/>
          <w:sz w:val="24"/>
          <w:szCs w:val="24"/>
        </w:rPr>
        <w:t xml:space="preserve">provides an impetus for colleges to </w:t>
      </w:r>
      <w:r w:rsidR="003E5EE7" w:rsidRPr="002B710B">
        <w:rPr>
          <w:rFonts w:ascii="Times New Roman" w:eastAsia="Arial Unicode MS" w:hAnsi="Times New Roman" w:cs="Times New Roman"/>
          <w:color w:val="auto"/>
          <w:sz w:val="24"/>
          <w:szCs w:val="24"/>
        </w:rPr>
        <w:t xml:space="preserve">put greater emphasis on supporting </w:t>
      </w:r>
      <w:r w:rsidR="007068F8" w:rsidRPr="002B710B">
        <w:rPr>
          <w:rFonts w:ascii="Times New Roman" w:eastAsia="Arial Unicode MS" w:hAnsi="Times New Roman" w:cs="Times New Roman"/>
          <w:i/>
          <w:color w:val="auto"/>
          <w:sz w:val="24"/>
          <w:szCs w:val="24"/>
        </w:rPr>
        <w:t xml:space="preserve">all </w:t>
      </w:r>
      <w:r w:rsidR="003E5EE7" w:rsidRPr="002B710B">
        <w:rPr>
          <w:rFonts w:ascii="Times New Roman" w:eastAsia="Arial Unicode MS" w:hAnsi="Times New Roman" w:cs="Times New Roman"/>
          <w:color w:val="auto"/>
          <w:sz w:val="24"/>
          <w:szCs w:val="24"/>
        </w:rPr>
        <w:t>students through their coursework,</w:t>
      </w:r>
      <w:r w:rsidR="007068F8" w:rsidRPr="002B710B">
        <w:rPr>
          <w:rFonts w:ascii="Times New Roman" w:eastAsia="Arial Unicode MS" w:hAnsi="Times New Roman" w:cs="Times New Roman"/>
          <w:color w:val="auto"/>
          <w:sz w:val="24"/>
          <w:szCs w:val="24"/>
        </w:rPr>
        <w:t xml:space="preserve"> where the current rhetoric has been focused on historically advantaged groups and women.  We find that while it is true that we need to encourage and support more women in STEM fields, especially those that require calculus and physics, a higher proportion of men who attempt these courses are not advancing.  In contrast, historically disadvantaged groups are both underrepresented in all STEM fields, and a higher proportion fail to advance, thus providing additional impetus to focus on these students.  </w:t>
      </w:r>
      <w:r w:rsidR="003E5EE7" w:rsidRPr="002B710B">
        <w:rPr>
          <w:rFonts w:ascii="Times New Roman" w:eastAsia="Arial Unicode MS" w:hAnsi="Times New Roman" w:cs="Times New Roman"/>
          <w:color w:val="auto"/>
          <w:sz w:val="24"/>
          <w:szCs w:val="24"/>
        </w:rPr>
        <w:t xml:space="preserve"> It is interesting to note that</w:t>
      </w:r>
      <w:r w:rsidR="00BD149D" w:rsidRPr="002B710B">
        <w:rPr>
          <w:rFonts w:ascii="Times New Roman" w:eastAsia="Arial Unicode MS" w:hAnsi="Times New Roman" w:cs="Times New Roman"/>
          <w:color w:val="auto"/>
          <w:sz w:val="24"/>
          <w:szCs w:val="24"/>
        </w:rPr>
        <w:t>,</w:t>
      </w:r>
      <w:r w:rsidR="003E5EE7" w:rsidRPr="002B710B">
        <w:rPr>
          <w:rFonts w:ascii="Times New Roman" w:eastAsia="Arial Unicode MS" w:hAnsi="Times New Roman" w:cs="Times New Roman"/>
          <w:color w:val="auto"/>
          <w:sz w:val="24"/>
          <w:szCs w:val="24"/>
        </w:rPr>
        <w:t xml:space="preserve"> while the proportion of students who depart the community college who don’t transfer </w:t>
      </w:r>
      <w:r w:rsidR="00BD149D" w:rsidRPr="002B710B">
        <w:rPr>
          <w:rFonts w:ascii="Times New Roman" w:eastAsia="Arial Unicode MS" w:hAnsi="Times New Roman" w:cs="Times New Roman"/>
          <w:color w:val="auto"/>
          <w:sz w:val="24"/>
          <w:szCs w:val="24"/>
        </w:rPr>
        <w:t xml:space="preserve">and don’t </w:t>
      </w:r>
      <w:r w:rsidR="003E5EE7" w:rsidRPr="002B710B">
        <w:rPr>
          <w:rFonts w:ascii="Times New Roman" w:eastAsia="Arial Unicode MS" w:hAnsi="Times New Roman" w:cs="Times New Roman"/>
          <w:color w:val="auto"/>
          <w:sz w:val="24"/>
          <w:szCs w:val="24"/>
        </w:rPr>
        <w:t>receive a credential is a staggering 45% for men and 49% for historically disadvantaged students</w:t>
      </w:r>
      <w:r w:rsidR="00BD149D" w:rsidRPr="002B710B">
        <w:rPr>
          <w:rFonts w:ascii="Times New Roman" w:eastAsia="Arial Unicode MS" w:hAnsi="Times New Roman" w:cs="Times New Roman"/>
          <w:color w:val="auto"/>
          <w:sz w:val="24"/>
          <w:szCs w:val="24"/>
        </w:rPr>
        <w:t>. A</w:t>
      </w:r>
      <w:r w:rsidR="003E5EE7" w:rsidRPr="002B710B">
        <w:rPr>
          <w:rFonts w:ascii="Times New Roman" w:eastAsia="Arial Unicode MS" w:hAnsi="Times New Roman" w:cs="Times New Roman"/>
          <w:color w:val="auto"/>
          <w:sz w:val="24"/>
          <w:szCs w:val="24"/>
        </w:rPr>
        <w:t xml:space="preserve">fter these students attempt at least one </w:t>
      </w:r>
      <w:r w:rsidR="005F7821">
        <w:rPr>
          <w:rFonts w:ascii="Times New Roman" w:eastAsia="Arial Unicode MS" w:hAnsi="Times New Roman" w:cs="Times New Roman"/>
          <w:color w:val="auto"/>
          <w:sz w:val="24"/>
          <w:szCs w:val="24"/>
        </w:rPr>
        <w:t>college-level</w:t>
      </w:r>
      <w:r w:rsidR="003E5EE7" w:rsidRPr="002B710B">
        <w:rPr>
          <w:rFonts w:ascii="Times New Roman" w:eastAsia="Arial Unicode MS" w:hAnsi="Times New Roman" w:cs="Times New Roman"/>
          <w:color w:val="auto"/>
          <w:sz w:val="24"/>
          <w:szCs w:val="24"/>
        </w:rPr>
        <w:t xml:space="preserve"> STEM course, it is still between 18-23% for men and 22-26% for historically disadvantaged groups even when they engaged in higher</w:t>
      </w:r>
      <w:r w:rsidR="007D794A">
        <w:rPr>
          <w:rFonts w:ascii="Times New Roman" w:eastAsia="Arial Unicode MS" w:hAnsi="Times New Roman" w:cs="Times New Roman"/>
          <w:color w:val="auto"/>
          <w:sz w:val="24"/>
          <w:szCs w:val="24"/>
        </w:rPr>
        <w:t>-</w:t>
      </w:r>
      <w:r w:rsidR="003E5EE7" w:rsidRPr="002B710B">
        <w:rPr>
          <w:rFonts w:ascii="Times New Roman" w:eastAsia="Arial Unicode MS" w:hAnsi="Times New Roman" w:cs="Times New Roman"/>
          <w:color w:val="auto"/>
          <w:sz w:val="24"/>
          <w:szCs w:val="24"/>
        </w:rPr>
        <w:t xml:space="preserve">level coursework.  There is clearly a need to devote resources to these students </w:t>
      </w:r>
      <w:r w:rsidR="003E5EE7" w:rsidRPr="002B710B">
        <w:rPr>
          <w:rFonts w:ascii="Times New Roman" w:eastAsia="Arial Unicode MS" w:hAnsi="Times New Roman" w:cs="Times New Roman"/>
          <w:color w:val="auto"/>
          <w:sz w:val="24"/>
          <w:szCs w:val="24"/>
        </w:rPr>
        <w:lastRenderedPageBreak/>
        <w:t xml:space="preserve">who have demonstrated capability and have worked their way through many of the introductory hurdles. </w:t>
      </w:r>
    </w:p>
    <w:p w14:paraId="753FAA61" w14:textId="1D156DE5" w:rsidR="00724526" w:rsidRDefault="00C43210">
      <w:pPr>
        <w:spacing w:after="0" w:line="480" w:lineRule="auto"/>
        <w:jc w:val="center"/>
        <w:rPr>
          <w:rFonts w:ascii="Times New Roman" w:eastAsia="Arial Unicode MS" w:hAnsi="Times New Roman" w:cs="Times New Roman"/>
          <w:b/>
          <w:color w:val="auto"/>
          <w:sz w:val="24"/>
          <w:szCs w:val="24"/>
        </w:rPr>
      </w:pPr>
      <w:r w:rsidRPr="002B710B">
        <w:rPr>
          <w:rFonts w:ascii="Times New Roman" w:eastAsia="Arial Unicode MS" w:hAnsi="Times New Roman" w:cs="Times New Roman"/>
          <w:b/>
          <w:color w:val="auto"/>
          <w:sz w:val="24"/>
          <w:szCs w:val="24"/>
        </w:rPr>
        <w:t>Implications for Future Research</w:t>
      </w:r>
    </w:p>
    <w:p w14:paraId="26784B98" w14:textId="77777777" w:rsidR="00724526" w:rsidRDefault="001A1106">
      <w:pPr>
        <w:spacing w:after="0" w:line="480" w:lineRule="auto"/>
        <w:ind w:firstLine="720"/>
        <w:rPr>
          <w:rFonts w:ascii="Times New Roman" w:eastAsia="Arial Unicode MS" w:hAnsi="Times New Roman" w:cs="Times New Roman"/>
          <w:color w:val="auto"/>
          <w:sz w:val="24"/>
          <w:szCs w:val="24"/>
        </w:rPr>
      </w:pPr>
      <w:r w:rsidRPr="002B710B">
        <w:rPr>
          <w:rFonts w:ascii="Times New Roman" w:eastAsia="Arial Unicode MS" w:hAnsi="Times New Roman" w:cs="Times New Roman"/>
          <w:color w:val="auto"/>
          <w:sz w:val="24"/>
          <w:szCs w:val="24"/>
        </w:rPr>
        <w:t>In this study</w:t>
      </w:r>
      <w:r w:rsidR="007D2351" w:rsidRPr="002B710B">
        <w:rPr>
          <w:rFonts w:ascii="Times New Roman" w:eastAsia="Arial Unicode MS" w:hAnsi="Times New Roman" w:cs="Times New Roman"/>
          <w:color w:val="auto"/>
          <w:sz w:val="24"/>
          <w:szCs w:val="24"/>
        </w:rPr>
        <w:t>,</w:t>
      </w:r>
      <w:r w:rsidRPr="002B710B">
        <w:rPr>
          <w:rFonts w:ascii="Times New Roman" w:eastAsia="Arial Unicode MS" w:hAnsi="Times New Roman" w:cs="Times New Roman"/>
          <w:color w:val="auto"/>
          <w:sz w:val="24"/>
          <w:szCs w:val="24"/>
        </w:rPr>
        <w:t xml:space="preserve"> we provide evidence for the use of an interdisciplinary approach to studying STEM </w:t>
      </w:r>
      <w:r w:rsidR="0019553D" w:rsidRPr="002B710B">
        <w:rPr>
          <w:rFonts w:ascii="Times New Roman" w:eastAsia="Arial Unicode MS" w:hAnsi="Times New Roman" w:cs="Times New Roman"/>
          <w:color w:val="auto"/>
          <w:sz w:val="24"/>
          <w:szCs w:val="24"/>
        </w:rPr>
        <w:t>course-taking</w:t>
      </w:r>
      <w:r w:rsidRPr="002B710B">
        <w:rPr>
          <w:rFonts w:ascii="Times New Roman" w:eastAsia="Arial Unicode MS" w:hAnsi="Times New Roman" w:cs="Times New Roman"/>
          <w:color w:val="auto"/>
          <w:sz w:val="24"/>
          <w:szCs w:val="24"/>
        </w:rPr>
        <w:t xml:space="preserve">.  While a strong foundation, there are a number of additional questions that arise from the research done here. </w:t>
      </w:r>
    </w:p>
    <w:p w14:paraId="6FF8BF89" w14:textId="77777777" w:rsidR="00724526" w:rsidRDefault="001A1106">
      <w:pPr>
        <w:spacing w:after="0" w:line="480" w:lineRule="auto"/>
        <w:ind w:firstLine="720"/>
        <w:rPr>
          <w:rFonts w:ascii="Times New Roman" w:eastAsia="Arial Unicode MS" w:hAnsi="Times New Roman" w:cs="Times New Roman"/>
          <w:color w:val="auto"/>
          <w:sz w:val="24"/>
          <w:szCs w:val="24"/>
        </w:rPr>
      </w:pPr>
      <w:r w:rsidRPr="002B710B">
        <w:rPr>
          <w:rFonts w:ascii="Times New Roman" w:eastAsia="Arial Unicode MS" w:hAnsi="Times New Roman" w:cs="Times New Roman"/>
          <w:b/>
          <w:color w:val="auto"/>
          <w:sz w:val="24"/>
          <w:szCs w:val="24"/>
        </w:rPr>
        <w:t>Intersectionality.</w:t>
      </w:r>
      <w:r w:rsidRPr="002B710B">
        <w:rPr>
          <w:rFonts w:ascii="Times New Roman" w:eastAsia="Arial Unicode MS" w:hAnsi="Times New Roman" w:cs="Times New Roman"/>
          <w:color w:val="auto"/>
          <w:sz w:val="24"/>
          <w:szCs w:val="24"/>
        </w:rPr>
        <w:t xml:space="preserve"> While we focus on the specific demographic groups based on historical advantage </w:t>
      </w:r>
      <w:r w:rsidR="007D2351" w:rsidRPr="002B710B">
        <w:rPr>
          <w:rFonts w:ascii="Times New Roman" w:eastAsia="Arial Unicode MS" w:hAnsi="Times New Roman" w:cs="Times New Roman"/>
          <w:color w:val="auto"/>
          <w:sz w:val="24"/>
          <w:szCs w:val="24"/>
        </w:rPr>
        <w:t xml:space="preserve">and </w:t>
      </w:r>
      <w:r w:rsidRPr="002B710B">
        <w:rPr>
          <w:rFonts w:ascii="Times New Roman" w:eastAsia="Arial Unicode MS" w:hAnsi="Times New Roman" w:cs="Times New Roman"/>
          <w:color w:val="auto"/>
          <w:sz w:val="24"/>
          <w:szCs w:val="24"/>
        </w:rPr>
        <w:t xml:space="preserve">sex, we are unable to identify how the intersection of identity may lead to further identifying groups that are in even more acute need.  For example, we notice than men and historically disadvantaged students have higher rates of departure </w:t>
      </w:r>
      <w:r w:rsidR="007068F8" w:rsidRPr="002B710B">
        <w:rPr>
          <w:rFonts w:ascii="Times New Roman" w:eastAsia="Arial Unicode MS" w:hAnsi="Times New Roman" w:cs="Times New Roman"/>
          <w:color w:val="auto"/>
          <w:sz w:val="24"/>
          <w:szCs w:val="24"/>
        </w:rPr>
        <w:t xml:space="preserve">and </w:t>
      </w:r>
      <w:r w:rsidRPr="002B710B">
        <w:rPr>
          <w:rFonts w:ascii="Times New Roman" w:eastAsia="Arial Unicode MS" w:hAnsi="Times New Roman" w:cs="Times New Roman"/>
          <w:color w:val="auto"/>
          <w:sz w:val="24"/>
          <w:szCs w:val="24"/>
        </w:rPr>
        <w:t>lower rates of course success regardless of the interdisciplinary course pair</w:t>
      </w:r>
      <w:r w:rsidR="00453ADB" w:rsidRPr="002B710B">
        <w:rPr>
          <w:rFonts w:ascii="Times New Roman" w:eastAsia="Arial Unicode MS" w:hAnsi="Times New Roman" w:cs="Times New Roman"/>
          <w:color w:val="auto"/>
          <w:sz w:val="24"/>
          <w:szCs w:val="24"/>
        </w:rPr>
        <w:t xml:space="preserve">.  Future research should analyze how the intersection of identity may help us to understand which groups are in need of additional support and how those groups engaged with the curriculum in unique ways.  </w:t>
      </w:r>
    </w:p>
    <w:p w14:paraId="34D8E940" w14:textId="77777777" w:rsidR="00724526" w:rsidRDefault="001A1106">
      <w:pPr>
        <w:spacing w:after="0" w:line="480" w:lineRule="auto"/>
        <w:ind w:firstLine="720"/>
        <w:rPr>
          <w:rFonts w:ascii="Times New Roman" w:eastAsia="Arial Unicode MS" w:hAnsi="Times New Roman" w:cs="Times New Roman"/>
          <w:color w:val="auto"/>
          <w:sz w:val="24"/>
          <w:szCs w:val="24"/>
        </w:rPr>
      </w:pPr>
      <w:r w:rsidRPr="002B710B">
        <w:rPr>
          <w:rFonts w:ascii="Times New Roman" w:eastAsia="Arial Unicode MS" w:hAnsi="Times New Roman" w:cs="Times New Roman"/>
          <w:color w:val="auto"/>
          <w:sz w:val="24"/>
          <w:szCs w:val="24"/>
        </w:rPr>
        <w:t xml:space="preserve"> </w:t>
      </w:r>
      <w:r w:rsidR="00453ADB" w:rsidRPr="002B710B">
        <w:rPr>
          <w:rFonts w:ascii="Times New Roman" w:eastAsia="Arial Unicode MS" w:hAnsi="Times New Roman" w:cs="Times New Roman"/>
          <w:b/>
          <w:color w:val="auto"/>
          <w:sz w:val="24"/>
          <w:szCs w:val="24"/>
        </w:rPr>
        <w:t>Repeating courses and other course behaviors.</w:t>
      </w:r>
      <w:r w:rsidR="00453ADB" w:rsidRPr="002B710B">
        <w:rPr>
          <w:rFonts w:ascii="Times New Roman" w:eastAsia="Arial Unicode MS" w:hAnsi="Times New Roman" w:cs="Times New Roman"/>
          <w:color w:val="auto"/>
          <w:sz w:val="24"/>
          <w:szCs w:val="24"/>
        </w:rPr>
        <w:t xml:space="preserve"> In this analysis</w:t>
      </w:r>
      <w:r w:rsidR="006E20CD" w:rsidRPr="002B710B">
        <w:rPr>
          <w:rFonts w:ascii="Times New Roman" w:eastAsia="Arial Unicode MS" w:hAnsi="Times New Roman" w:cs="Times New Roman"/>
          <w:color w:val="auto"/>
          <w:sz w:val="24"/>
          <w:szCs w:val="24"/>
        </w:rPr>
        <w:t>,</w:t>
      </w:r>
      <w:r w:rsidR="00453ADB" w:rsidRPr="002B710B">
        <w:rPr>
          <w:rFonts w:ascii="Times New Roman" w:eastAsia="Arial Unicode MS" w:hAnsi="Times New Roman" w:cs="Times New Roman"/>
          <w:color w:val="auto"/>
          <w:sz w:val="24"/>
          <w:szCs w:val="24"/>
        </w:rPr>
        <w:t xml:space="preserve"> we do not account for repeated course attempts.  This is one of many </w:t>
      </w:r>
      <w:r w:rsidR="0019553D" w:rsidRPr="002B710B">
        <w:rPr>
          <w:rFonts w:ascii="Times New Roman" w:eastAsia="Arial Unicode MS" w:hAnsi="Times New Roman" w:cs="Times New Roman"/>
          <w:color w:val="auto"/>
          <w:sz w:val="24"/>
          <w:szCs w:val="24"/>
        </w:rPr>
        <w:t>course-taking</w:t>
      </w:r>
      <w:r w:rsidR="00453ADB" w:rsidRPr="002B710B">
        <w:rPr>
          <w:rFonts w:ascii="Times New Roman" w:eastAsia="Arial Unicode MS" w:hAnsi="Times New Roman" w:cs="Times New Roman"/>
          <w:color w:val="auto"/>
          <w:sz w:val="24"/>
          <w:szCs w:val="24"/>
        </w:rPr>
        <w:t xml:space="preserve"> behaviors that may help us tease apart what can be done to better support students who engaged in STEM coursework.  Future research in this area would also lead us to answer critical questions, like which courses or disciplines are most frequently repeated?  What is the resiliency of students in these STEM pathways, and what are their common points of exit.  In this study, we found that many students attempt lower level courses even after attempting the more advanced interdisciplinary course pairs, but we are unable to understand why and if those lower level courses may be points of exit.  </w:t>
      </w:r>
    </w:p>
    <w:p w14:paraId="0079071C" w14:textId="77777777" w:rsidR="00724526" w:rsidRDefault="00A02A24">
      <w:pPr>
        <w:spacing w:after="0" w:line="480" w:lineRule="auto"/>
        <w:ind w:firstLine="720"/>
        <w:rPr>
          <w:rFonts w:ascii="Times New Roman" w:eastAsia="Arial Unicode MS" w:hAnsi="Times New Roman" w:cs="Times New Roman"/>
          <w:color w:val="auto"/>
          <w:sz w:val="24"/>
          <w:szCs w:val="24"/>
        </w:rPr>
      </w:pPr>
      <w:r w:rsidRPr="002B710B">
        <w:rPr>
          <w:rFonts w:ascii="Times New Roman" w:eastAsia="Arial Unicode MS" w:hAnsi="Times New Roman" w:cs="Times New Roman"/>
          <w:b/>
          <w:color w:val="auto"/>
          <w:sz w:val="24"/>
          <w:szCs w:val="24"/>
        </w:rPr>
        <w:t>Causal analysis.</w:t>
      </w:r>
      <w:r w:rsidRPr="002B710B">
        <w:rPr>
          <w:rFonts w:ascii="Times New Roman" w:eastAsia="Arial Unicode MS" w:hAnsi="Times New Roman" w:cs="Times New Roman"/>
          <w:color w:val="auto"/>
          <w:sz w:val="24"/>
          <w:szCs w:val="24"/>
        </w:rPr>
        <w:t xml:space="preserve">  In this study we identify a number of important relationships between how students engage with the curriculum.  However, our results are not causal. Future research </w:t>
      </w:r>
      <w:r w:rsidRPr="002B710B">
        <w:rPr>
          <w:rFonts w:ascii="Times New Roman" w:eastAsia="Arial Unicode MS" w:hAnsi="Times New Roman" w:cs="Times New Roman"/>
          <w:color w:val="auto"/>
          <w:sz w:val="24"/>
          <w:szCs w:val="24"/>
        </w:rPr>
        <w:lastRenderedPageBreak/>
        <w:t>on pathway analysis should engage in quasi-experimental methods such a difference in difference</w:t>
      </w:r>
      <w:r w:rsidR="007068F8" w:rsidRPr="002B710B">
        <w:rPr>
          <w:rFonts w:ascii="Times New Roman" w:eastAsia="Arial Unicode MS" w:hAnsi="Times New Roman" w:cs="Times New Roman"/>
          <w:color w:val="auto"/>
          <w:sz w:val="24"/>
          <w:szCs w:val="24"/>
        </w:rPr>
        <w:t xml:space="preserve"> model or a post-hoc randomized selection of </w:t>
      </w:r>
      <w:proofErr w:type="gramStart"/>
      <w:r w:rsidR="007068F8" w:rsidRPr="002B710B">
        <w:rPr>
          <w:rFonts w:ascii="Times New Roman" w:eastAsia="Arial Unicode MS" w:hAnsi="Times New Roman" w:cs="Times New Roman"/>
          <w:color w:val="auto"/>
          <w:sz w:val="24"/>
          <w:szCs w:val="24"/>
        </w:rPr>
        <w:t>students</w:t>
      </w:r>
      <w:r w:rsidRPr="002B710B">
        <w:rPr>
          <w:rFonts w:ascii="Times New Roman" w:eastAsia="Arial Unicode MS" w:hAnsi="Times New Roman" w:cs="Times New Roman"/>
          <w:color w:val="auto"/>
          <w:sz w:val="24"/>
          <w:szCs w:val="24"/>
        </w:rPr>
        <w:t xml:space="preserve">  to</w:t>
      </w:r>
      <w:proofErr w:type="gramEnd"/>
      <w:r w:rsidRPr="002B710B">
        <w:rPr>
          <w:rFonts w:ascii="Times New Roman" w:eastAsia="Arial Unicode MS" w:hAnsi="Times New Roman" w:cs="Times New Roman"/>
          <w:color w:val="auto"/>
          <w:sz w:val="24"/>
          <w:szCs w:val="24"/>
        </w:rPr>
        <w:t xml:space="preserve"> tease apart how different demographic groups are engaging in the curriculum in unique ways.  Information like this could help inform advising and policy around how students potentially are diverted to specific fields of study, or</w:t>
      </w:r>
      <w:r w:rsidR="004C58BF" w:rsidRPr="002B710B">
        <w:rPr>
          <w:rFonts w:ascii="Times New Roman" w:eastAsia="Arial Unicode MS" w:hAnsi="Times New Roman" w:cs="Times New Roman"/>
          <w:color w:val="auto"/>
          <w:sz w:val="24"/>
          <w:szCs w:val="24"/>
        </w:rPr>
        <w:t>,</w:t>
      </w:r>
      <w:r w:rsidRPr="002B710B">
        <w:rPr>
          <w:rFonts w:ascii="Times New Roman" w:eastAsia="Arial Unicode MS" w:hAnsi="Times New Roman" w:cs="Times New Roman"/>
          <w:color w:val="auto"/>
          <w:sz w:val="24"/>
          <w:szCs w:val="24"/>
        </w:rPr>
        <w:t xml:space="preserve"> in the case of women</w:t>
      </w:r>
      <w:r w:rsidR="004C58BF" w:rsidRPr="002B710B">
        <w:rPr>
          <w:rFonts w:ascii="Times New Roman" w:eastAsia="Arial Unicode MS" w:hAnsi="Times New Roman" w:cs="Times New Roman"/>
          <w:color w:val="auto"/>
          <w:sz w:val="24"/>
          <w:szCs w:val="24"/>
        </w:rPr>
        <w:t>,</w:t>
      </w:r>
      <w:r w:rsidRPr="002B710B">
        <w:rPr>
          <w:rFonts w:ascii="Times New Roman" w:eastAsia="Arial Unicode MS" w:hAnsi="Times New Roman" w:cs="Times New Roman"/>
          <w:color w:val="auto"/>
          <w:sz w:val="24"/>
          <w:szCs w:val="24"/>
        </w:rPr>
        <w:t xml:space="preserve"> are more likely to seek a credential.  </w:t>
      </w:r>
    </w:p>
    <w:p w14:paraId="3E125BE5" w14:textId="77777777" w:rsidR="00724526" w:rsidRDefault="00A02A24">
      <w:pPr>
        <w:spacing w:after="0" w:line="480" w:lineRule="auto"/>
        <w:rPr>
          <w:rFonts w:ascii="Times New Roman" w:eastAsia="Arial Unicode MS" w:hAnsi="Times New Roman" w:cs="Times New Roman"/>
          <w:color w:val="auto"/>
          <w:sz w:val="24"/>
          <w:szCs w:val="24"/>
        </w:rPr>
      </w:pPr>
      <w:r w:rsidRPr="002B710B">
        <w:rPr>
          <w:rFonts w:ascii="Times New Roman" w:eastAsia="Arial Unicode MS" w:hAnsi="Times New Roman" w:cs="Times New Roman"/>
          <w:color w:val="auto"/>
          <w:sz w:val="24"/>
          <w:szCs w:val="24"/>
        </w:rPr>
        <w:tab/>
      </w:r>
      <w:r w:rsidRPr="002B710B">
        <w:rPr>
          <w:rFonts w:ascii="Times New Roman" w:eastAsia="Arial Unicode MS" w:hAnsi="Times New Roman" w:cs="Times New Roman"/>
          <w:b/>
          <w:color w:val="auto"/>
          <w:sz w:val="24"/>
          <w:szCs w:val="24"/>
        </w:rPr>
        <w:t xml:space="preserve">Interdisciplinary preparation. </w:t>
      </w:r>
      <w:r w:rsidRPr="002B710B">
        <w:rPr>
          <w:rFonts w:ascii="Times New Roman" w:eastAsia="Arial Unicode MS" w:hAnsi="Times New Roman" w:cs="Times New Roman"/>
          <w:color w:val="auto"/>
          <w:sz w:val="24"/>
          <w:szCs w:val="24"/>
        </w:rPr>
        <w:t>Utilizing the strength</w:t>
      </w:r>
      <w:r w:rsidR="00693BF7" w:rsidRPr="002B710B">
        <w:rPr>
          <w:rFonts w:ascii="Times New Roman" w:eastAsia="Arial Unicode MS" w:hAnsi="Times New Roman" w:cs="Times New Roman"/>
          <w:color w:val="auto"/>
          <w:sz w:val="24"/>
          <w:szCs w:val="24"/>
        </w:rPr>
        <w:t>-</w:t>
      </w:r>
      <w:r w:rsidRPr="002B710B">
        <w:rPr>
          <w:rFonts w:ascii="Times New Roman" w:eastAsia="Arial Unicode MS" w:hAnsi="Times New Roman" w:cs="Times New Roman"/>
          <w:color w:val="auto"/>
          <w:sz w:val="24"/>
          <w:szCs w:val="24"/>
        </w:rPr>
        <w:t>based approach in this study helped us hone in on students that completed the course pairs, but it did not provide insight into what is happening to students who do not complete these course pairs.  While it would be hard to identify what motivates students to progress through the curriculum</w:t>
      </w:r>
      <w:r w:rsidR="00693BF7" w:rsidRPr="002B710B">
        <w:rPr>
          <w:rFonts w:ascii="Times New Roman" w:eastAsia="Arial Unicode MS" w:hAnsi="Times New Roman" w:cs="Times New Roman"/>
          <w:color w:val="auto"/>
          <w:sz w:val="24"/>
          <w:szCs w:val="24"/>
        </w:rPr>
        <w:t>,</w:t>
      </w:r>
      <w:r w:rsidRPr="002B710B">
        <w:rPr>
          <w:rFonts w:ascii="Times New Roman" w:eastAsia="Arial Unicode MS" w:hAnsi="Times New Roman" w:cs="Times New Roman"/>
          <w:color w:val="auto"/>
          <w:sz w:val="24"/>
          <w:szCs w:val="24"/>
        </w:rPr>
        <w:t xml:space="preserve"> future quantitative and qualitative analysis should seek to understand how students are being prepared, or not prepared, to engage in the required interdisciplinary curricul</w:t>
      </w:r>
      <w:r w:rsidR="00693BF7" w:rsidRPr="002B710B">
        <w:rPr>
          <w:rFonts w:ascii="Times New Roman" w:eastAsia="Arial Unicode MS" w:hAnsi="Times New Roman" w:cs="Times New Roman"/>
          <w:color w:val="auto"/>
          <w:sz w:val="24"/>
          <w:szCs w:val="24"/>
        </w:rPr>
        <w:t>a</w:t>
      </w:r>
      <w:r w:rsidRPr="002B710B">
        <w:rPr>
          <w:rFonts w:ascii="Times New Roman" w:eastAsia="Arial Unicode MS" w:hAnsi="Times New Roman" w:cs="Times New Roman"/>
          <w:color w:val="auto"/>
          <w:sz w:val="24"/>
          <w:szCs w:val="24"/>
        </w:rPr>
        <w:t xml:space="preserve"> for STEM majors.  Our critical course pair decision rules and method are a starting point for future work in this area for researchers to use when teasing apart what is happening throughout the curriculum that hinders or enhances </w:t>
      </w:r>
      <w:r w:rsidR="0019406F" w:rsidRPr="002B710B">
        <w:rPr>
          <w:rFonts w:ascii="Times New Roman" w:eastAsia="Arial Unicode MS" w:hAnsi="Times New Roman" w:cs="Times New Roman"/>
          <w:color w:val="auto"/>
          <w:sz w:val="24"/>
          <w:szCs w:val="24"/>
        </w:rPr>
        <w:t>students’</w:t>
      </w:r>
      <w:r w:rsidRPr="002B710B">
        <w:rPr>
          <w:rFonts w:ascii="Times New Roman" w:eastAsia="Arial Unicode MS" w:hAnsi="Times New Roman" w:cs="Times New Roman"/>
          <w:color w:val="auto"/>
          <w:sz w:val="24"/>
          <w:szCs w:val="24"/>
        </w:rPr>
        <w:t xml:space="preserve"> ability to progress in the STEM pipeline.  </w:t>
      </w:r>
    </w:p>
    <w:p w14:paraId="615C25CD" w14:textId="77777777" w:rsidR="007E6AD5" w:rsidRPr="002B710B" w:rsidRDefault="007E6AD5" w:rsidP="00113507">
      <w:pPr>
        <w:widowControl w:val="0"/>
        <w:spacing w:after="0" w:line="480" w:lineRule="auto"/>
        <w:jc w:val="center"/>
        <w:rPr>
          <w:rFonts w:ascii="Times New Roman" w:hAnsi="Times New Roman" w:cs="Times New Roman"/>
          <w:b/>
          <w:color w:val="auto"/>
          <w:sz w:val="24"/>
          <w:szCs w:val="24"/>
          <w:shd w:val="clear" w:color="auto" w:fill="FFFFFF"/>
        </w:rPr>
      </w:pPr>
      <w:r w:rsidRPr="002B710B">
        <w:rPr>
          <w:rFonts w:ascii="Times New Roman" w:hAnsi="Times New Roman" w:cs="Times New Roman"/>
          <w:b/>
          <w:color w:val="auto"/>
          <w:sz w:val="24"/>
          <w:szCs w:val="24"/>
          <w:shd w:val="clear" w:color="auto" w:fill="FFFFFF"/>
        </w:rPr>
        <w:t>C</w:t>
      </w:r>
      <w:r w:rsidR="00E27549" w:rsidRPr="002B710B">
        <w:rPr>
          <w:rFonts w:ascii="Times New Roman" w:hAnsi="Times New Roman" w:cs="Times New Roman"/>
          <w:b/>
          <w:color w:val="auto"/>
          <w:sz w:val="24"/>
          <w:szCs w:val="24"/>
          <w:shd w:val="clear" w:color="auto" w:fill="FFFFFF"/>
        </w:rPr>
        <w:t>onclusion</w:t>
      </w:r>
    </w:p>
    <w:p w14:paraId="272304F6" w14:textId="77777777" w:rsidR="00724526" w:rsidRDefault="0019406F">
      <w:pPr>
        <w:spacing w:after="0" w:line="480" w:lineRule="auto"/>
        <w:ind w:firstLine="720"/>
        <w:rPr>
          <w:rFonts w:ascii="Times New Roman" w:eastAsia="Arial Unicode MS" w:hAnsi="Times New Roman" w:cs="Times New Roman"/>
          <w:color w:val="auto"/>
          <w:sz w:val="24"/>
          <w:szCs w:val="24"/>
        </w:rPr>
      </w:pPr>
      <w:r w:rsidRPr="002B710B">
        <w:rPr>
          <w:rFonts w:ascii="Times New Roman" w:eastAsia="Arial Unicode MS" w:hAnsi="Times New Roman" w:cs="Times New Roman"/>
          <w:color w:val="auto"/>
          <w:sz w:val="24"/>
          <w:szCs w:val="24"/>
        </w:rPr>
        <w:t>There has been a great deal of conversation and research done on improving the STEM pipeline that focuses on single subjects or discusses STEM as a series of disconnected fields.  In this study</w:t>
      </w:r>
      <w:r w:rsidR="00FB03DE" w:rsidRPr="002B710B">
        <w:rPr>
          <w:rFonts w:ascii="Times New Roman" w:eastAsia="Arial Unicode MS" w:hAnsi="Times New Roman" w:cs="Times New Roman"/>
          <w:color w:val="auto"/>
          <w:sz w:val="24"/>
          <w:szCs w:val="24"/>
        </w:rPr>
        <w:t>,</w:t>
      </w:r>
      <w:r w:rsidRPr="002B710B">
        <w:rPr>
          <w:rFonts w:ascii="Times New Roman" w:eastAsia="Arial Unicode MS" w:hAnsi="Times New Roman" w:cs="Times New Roman"/>
          <w:color w:val="auto"/>
          <w:sz w:val="24"/>
          <w:szCs w:val="24"/>
        </w:rPr>
        <w:t xml:space="preserve"> we provide a conceptual approach and analysis of STEM as a set of interdisciplinary fields that build on each other.  If we are to increase the number of STEM professionals</w:t>
      </w:r>
      <w:r w:rsidR="00FB03DE" w:rsidRPr="002B710B">
        <w:rPr>
          <w:rFonts w:ascii="Times New Roman" w:eastAsia="Arial Unicode MS" w:hAnsi="Times New Roman" w:cs="Times New Roman"/>
          <w:color w:val="auto"/>
          <w:sz w:val="24"/>
          <w:szCs w:val="24"/>
        </w:rPr>
        <w:t xml:space="preserve"> in the U.S.</w:t>
      </w:r>
      <w:r w:rsidRPr="002B710B">
        <w:rPr>
          <w:rFonts w:ascii="Times New Roman" w:eastAsia="Arial Unicode MS" w:hAnsi="Times New Roman" w:cs="Times New Roman"/>
          <w:color w:val="auto"/>
          <w:sz w:val="24"/>
          <w:szCs w:val="24"/>
        </w:rPr>
        <w:t>, we will need to do so from an interdisciplinary perspective that accounts for the multiple disciplinary proficiencies required to be successful and advance in the STEM pipeline.  We find in this study that</w:t>
      </w:r>
      <w:r w:rsidR="00CD4CA7" w:rsidRPr="002B710B">
        <w:rPr>
          <w:rFonts w:ascii="Times New Roman" w:eastAsia="Arial Unicode MS" w:hAnsi="Times New Roman" w:cs="Times New Roman"/>
          <w:color w:val="auto"/>
          <w:sz w:val="24"/>
          <w:szCs w:val="24"/>
        </w:rPr>
        <w:t>,</w:t>
      </w:r>
      <w:r w:rsidRPr="002B710B">
        <w:rPr>
          <w:rFonts w:ascii="Times New Roman" w:eastAsia="Arial Unicode MS" w:hAnsi="Times New Roman" w:cs="Times New Roman"/>
          <w:color w:val="auto"/>
          <w:sz w:val="24"/>
          <w:szCs w:val="24"/>
        </w:rPr>
        <w:t xml:space="preserve"> while the number of students who complete advance</w:t>
      </w:r>
      <w:r w:rsidR="00CD4CA7" w:rsidRPr="002B710B">
        <w:rPr>
          <w:rFonts w:ascii="Times New Roman" w:eastAsia="Arial Unicode MS" w:hAnsi="Times New Roman" w:cs="Times New Roman"/>
          <w:color w:val="auto"/>
          <w:sz w:val="24"/>
          <w:szCs w:val="24"/>
        </w:rPr>
        <w:t>d</w:t>
      </w:r>
      <w:r w:rsidRPr="002B710B">
        <w:rPr>
          <w:rFonts w:ascii="Times New Roman" w:eastAsia="Arial Unicode MS" w:hAnsi="Times New Roman" w:cs="Times New Roman"/>
          <w:color w:val="auto"/>
          <w:sz w:val="24"/>
          <w:szCs w:val="24"/>
        </w:rPr>
        <w:t xml:space="preserve"> coursework in math and other STEM fields is low, the proportion that complete advanced coursework in multiple fields is </w:t>
      </w:r>
      <w:r w:rsidRPr="002B710B">
        <w:rPr>
          <w:rFonts w:ascii="Times New Roman" w:eastAsia="Arial Unicode MS" w:hAnsi="Times New Roman" w:cs="Times New Roman"/>
          <w:color w:val="auto"/>
          <w:sz w:val="24"/>
          <w:szCs w:val="24"/>
        </w:rPr>
        <w:lastRenderedPageBreak/>
        <w:t xml:space="preserve">miniscule.  As the designated point of access, community colleges should be given the resources necessary to support and enhance the potential of </w:t>
      </w:r>
      <w:r w:rsidR="00CD4CA7" w:rsidRPr="002B710B">
        <w:rPr>
          <w:rFonts w:ascii="Times New Roman" w:eastAsia="Arial Unicode MS" w:hAnsi="Times New Roman" w:cs="Times New Roman"/>
          <w:color w:val="auto"/>
          <w:sz w:val="24"/>
          <w:szCs w:val="24"/>
        </w:rPr>
        <w:t xml:space="preserve">society’s </w:t>
      </w:r>
      <w:r w:rsidRPr="002B710B">
        <w:rPr>
          <w:rFonts w:ascii="Times New Roman" w:eastAsia="Arial Unicode MS" w:hAnsi="Times New Roman" w:cs="Times New Roman"/>
          <w:color w:val="auto"/>
          <w:sz w:val="24"/>
          <w:szCs w:val="24"/>
        </w:rPr>
        <w:t>historically disadvantaged to enter the most promising and needed career fields</w:t>
      </w:r>
      <w:r w:rsidR="007707D0" w:rsidRPr="002B710B">
        <w:rPr>
          <w:rFonts w:ascii="Times New Roman" w:eastAsia="Arial Unicode MS" w:hAnsi="Times New Roman" w:cs="Times New Roman"/>
          <w:color w:val="auto"/>
          <w:sz w:val="24"/>
          <w:szCs w:val="24"/>
        </w:rPr>
        <w:t>, including</w:t>
      </w:r>
      <w:r w:rsidRPr="002B710B">
        <w:rPr>
          <w:rFonts w:ascii="Times New Roman" w:eastAsia="Arial Unicode MS" w:hAnsi="Times New Roman" w:cs="Times New Roman"/>
          <w:color w:val="auto"/>
          <w:sz w:val="24"/>
          <w:szCs w:val="24"/>
        </w:rPr>
        <w:t xml:space="preserve"> STEM</w:t>
      </w:r>
      <w:r w:rsidR="007707D0" w:rsidRPr="002B710B">
        <w:rPr>
          <w:rFonts w:ascii="Times New Roman" w:eastAsia="Arial Unicode MS" w:hAnsi="Times New Roman" w:cs="Times New Roman"/>
          <w:color w:val="auto"/>
          <w:sz w:val="24"/>
          <w:szCs w:val="24"/>
        </w:rPr>
        <w:t xml:space="preserve"> fields</w:t>
      </w:r>
      <w:r w:rsidRPr="002B710B">
        <w:rPr>
          <w:rFonts w:ascii="Times New Roman" w:eastAsia="Arial Unicode MS" w:hAnsi="Times New Roman" w:cs="Times New Roman"/>
          <w:color w:val="auto"/>
          <w:sz w:val="24"/>
          <w:szCs w:val="24"/>
        </w:rPr>
        <w:t xml:space="preserve">.  Further, the decisions of institutions should be based on research that most closely represents the reality their students are facing in needing to progress.  </w:t>
      </w:r>
    </w:p>
    <w:p w14:paraId="058222E5" w14:textId="77777777" w:rsidR="00724526" w:rsidRDefault="001332D4">
      <w:pPr>
        <w:spacing w:after="0"/>
        <w:rPr>
          <w:rFonts w:ascii="Times New Roman" w:eastAsia="Times New Roman" w:hAnsi="Times New Roman" w:cs="Times New Roman"/>
          <w:b/>
          <w:color w:val="auto"/>
          <w:sz w:val="24"/>
          <w:szCs w:val="24"/>
        </w:rPr>
      </w:pPr>
      <w:r w:rsidRPr="002B710B">
        <w:rPr>
          <w:rFonts w:ascii="Times New Roman" w:eastAsia="Times New Roman" w:hAnsi="Times New Roman" w:cs="Times New Roman"/>
          <w:b/>
          <w:color w:val="auto"/>
          <w:sz w:val="24"/>
          <w:szCs w:val="24"/>
        </w:rPr>
        <w:br w:type="page"/>
      </w:r>
    </w:p>
    <w:p w14:paraId="6C815047" w14:textId="77777777" w:rsidR="00724526" w:rsidRDefault="009C3A03" w:rsidP="00A02C0D">
      <w:pPr>
        <w:spacing w:after="0" w:line="480" w:lineRule="auto"/>
        <w:jc w:val="center"/>
        <w:rPr>
          <w:rFonts w:ascii="Times New Roman" w:eastAsia="Times New Roman" w:hAnsi="Times New Roman" w:cs="Times New Roman"/>
          <w:b/>
          <w:color w:val="auto"/>
          <w:sz w:val="24"/>
          <w:szCs w:val="24"/>
        </w:rPr>
      </w:pPr>
      <w:r w:rsidRPr="002B710B">
        <w:rPr>
          <w:rFonts w:ascii="Times New Roman" w:eastAsia="Times New Roman" w:hAnsi="Times New Roman" w:cs="Times New Roman"/>
          <w:b/>
          <w:color w:val="auto"/>
          <w:sz w:val="24"/>
          <w:szCs w:val="24"/>
        </w:rPr>
        <w:lastRenderedPageBreak/>
        <w:t>References</w:t>
      </w:r>
    </w:p>
    <w:p w14:paraId="37F1B0A0" w14:textId="77777777" w:rsidR="00B134FB" w:rsidRDefault="00B134FB">
      <w:pPr>
        <w:pStyle w:val="Normal1"/>
        <w:spacing w:after="0"/>
        <w:rPr>
          <w:rFonts w:ascii="Times New Roman" w:hAnsi="Times New Roman" w:cs="Times New Roman"/>
          <w:color w:val="auto"/>
          <w:sz w:val="24"/>
          <w:szCs w:val="24"/>
          <w:shd w:val="clear" w:color="auto" w:fill="FFFFFF"/>
        </w:rPr>
      </w:pPr>
    </w:p>
    <w:p w14:paraId="4E11B547" w14:textId="77777777" w:rsidR="00104830" w:rsidRDefault="00104830" w:rsidP="00104830">
      <w:pPr>
        <w:widowControl w:val="0"/>
        <w:spacing w:after="0" w:line="480" w:lineRule="auto"/>
        <w:ind w:left="720" w:hanging="720"/>
        <w:rPr>
          <w:rFonts w:ascii="Times New Roman" w:hAnsi="Times New Roman"/>
          <w:sz w:val="24"/>
          <w:szCs w:val="24"/>
          <w:lang w:eastAsia="zh-CN"/>
        </w:rPr>
      </w:pPr>
      <w:r w:rsidRPr="00103C39">
        <w:rPr>
          <w:rFonts w:ascii="Times New Roman" w:hAnsi="Times New Roman"/>
          <w:sz w:val="24"/>
          <w:szCs w:val="24"/>
          <w:lang w:eastAsia="zh-CN"/>
        </w:rPr>
        <w:t xml:space="preserve">Bahr, P. R. (2010). Preparing the underprepared: An analysis of racial disparities in postsecondary mathematics remediation. </w:t>
      </w:r>
      <w:r w:rsidRPr="00103C39">
        <w:rPr>
          <w:rFonts w:ascii="Times New Roman" w:hAnsi="Times New Roman"/>
          <w:i/>
          <w:sz w:val="24"/>
          <w:szCs w:val="24"/>
          <w:lang w:eastAsia="zh-CN"/>
        </w:rPr>
        <w:t>Journal of Higher Education</w:t>
      </w:r>
      <w:r w:rsidRPr="00103C39">
        <w:rPr>
          <w:rFonts w:ascii="Times New Roman" w:hAnsi="Times New Roman"/>
          <w:sz w:val="24"/>
          <w:szCs w:val="24"/>
          <w:lang w:eastAsia="zh-CN"/>
        </w:rPr>
        <w:t xml:space="preserve">, </w:t>
      </w:r>
      <w:r w:rsidRPr="00103C39">
        <w:rPr>
          <w:rFonts w:ascii="Times New Roman" w:hAnsi="Times New Roman"/>
          <w:i/>
          <w:sz w:val="24"/>
          <w:szCs w:val="24"/>
          <w:lang w:eastAsia="zh-CN"/>
        </w:rPr>
        <w:t>81</w:t>
      </w:r>
      <w:r w:rsidRPr="00103C39">
        <w:rPr>
          <w:rFonts w:ascii="Times New Roman" w:hAnsi="Times New Roman"/>
          <w:sz w:val="24"/>
          <w:szCs w:val="24"/>
          <w:lang w:eastAsia="zh-CN"/>
        </w:rPr>
        <w:t>, 209-237.</w:t>
      </w:r>
    </w:p>
    <w:p w14:paraId="186445C1" w14:textId="77777777" w:rsidR="00B134FB" w:rsidRPr="00B134FB" w:rsidRDefault="00B134FB" w:rsidP="00104830">
      <w:pPr>
        <w:widowControl w:val="0"/>
        <w:spacing w:after="0" w:line="480" w:lineRule="auto"/>
        <w:ind w:left="720" w:hanging="720"/>
        <w:rPr>
          <w:rFonts w:ascii="Times New Roman" w:hAnsi="Times New Roman"/>
          <w:sz w:val="24"/>
          <w:szCs w:val="24"/>
        </w:rPr>
      </w:pPr>
      <w:r w:rsidRPr="00103C39">
        <w:rPr>
          <w:rFonts w:ascii="Times New Roman" w:hAnsi="Times New Roman"/>
          <w:sz w:val="24"/>
          <w:szCs w:val="24"/>
        </w:rPr>
        <w:t>Bahr, P. R. (2012). Deconstructing remediation in the community college: Exploring associations between course-taking patterns, course outcomes, and attrition from the remedial math and remedial writing sequences</w:t>
      </w:r>
      <w:r w:rsidRPr="00103C39">
        <w:rPr>
          <w:rFonts w:ascii="Times New Roman" w:hAnsi="Times New Roman"/>
          <w:iCs/>
          <w:sz w:val="24"/>
          <w:szCs w:val="24"/>
        </w:rPr>
        <w:t>.</w:t>
      </w:r>
      <w:r w:rsidRPr="00103C39">
        <w:rPr>
          <w:rFonts w:ascii="Times New Roman" w:hAnsi="Times New Roman"/>
          <w:sz w:val="24"/>
          <w:szCs w:val="24"/>
        </w:rPr>
        <w:t xml:space="preserve"> </w:t>
      </w:r>
      <w:r w:rsidRPr="00103C39">
        <w:rPr>
          <w:rFonts w:ascii="Times New Roman" w:hAnsi="Times New Roman"/>
          <w:i/>
          <w:sz w:val="24"/>
          <w:szCs w:val="24"/>
        </w:rPr>
        <w:t>Research in Higher Education</w:t>
      </w:r>
      <w:r w:rsidRPr="00103C39">
        <w:rPr>
          <w:rFonts w:ascii="Times New Roman" w:hAnsi="Times New Roman"/>
          <w:sz w:val="24"/>
          <w:szCs w:val="24"/>
        </w:rPr>
        <w:t xml:space="preserve">, </w:t>
      </w:r>
      <w:r w:rsidRPr="00103C39">
        <w:rPr>
          <w:rFonts w:ascii="Times New Roman" w:hAnsi="Times New Roman"/>
          <w:i/>
          <w:sz w:val="24"/>
          <w:szCs w:val="24"/>
        </w:rPr>
        <w:t>53</w:t>
      </w:r>
      <w:r w:rsidRPr="00103C39">
        <w:rPr>
          <w:rFonts w:ascii="Times New Roman" w:hAnsi="Times New Roman"/>
          <w:sz w:val="24"/>
          <w:szCs w:val="24"/>
        </w:rPr>
        <w:t>, 661-693.</w:t>
      </w:r>
    </w:p>
    <w:p w14:paraId="59D4B23C" w14:textId="77777777" w:rsidR="00B134FB" w:rsidRPr="00B134FB" w:rsidRDefault="00B134FB" w:rsidP="00104830">
      <w:pPr>
        <w:widowControl w:val="0"/>
        <w:spacing w:after="0" w:line="480" w:lineRule="auto"/>
        <w:ind w:left="720" w:hanging="720"/>
        <w:rPr>
          <w:rFonts w:ascii="Times New Roman" w:hAnsi="Times New Roman"/>
          <w:color w:val="000000" w:themeColor="text1"/>
          <w:sz w:val="24"/>
          <w:szCs w:val="24"/>
        </w:rPr>
      </w:pPr>
      <w:r w:rsidRPr="00103C39">
        <w:rPr>
          <w:rFonts w:ascii="Times New Roman" w:hAnsi="Times New Roman"/>
          <w:color w:val="000000" w:themeColor="text1"/>
          <w:sz w:val="24"/>
          <w:szCs w:val="24"/>
        </w:rPr>
        <w:t xml:space="preserve">Bahr, P. R. (2013). The deconstructive approach to understanding community college students’ pathways and outcomes. </w:t>
      </w:r>
      <w:r w:rsidRPr="00103C39">
        <w:rPr>
          <w:rFonts w:ascii="Times New Roman" w:hAnsi="Times New Roman"/>
          <w:i/>
          <w:iCs/>
          <w:color w:val="000000" w:themeColor="text1"/>
          <w:sz w:val="24"/>
          <w:szCs w:val="24"/>
        </w:rPr>
        <w:t>Community College Review</w:t>
      </w:r>
      <w:r w:rsidRPr="00103C39">
        <w:rPr>
          <w:rFonts w:ascii="Times New Roman" w:hAnsi="Times New Roman"/>
          <w:color w:val="000000" w:themeColor="text1"/>
          <w:sz w:val="24"/>
          <w:szCs w:val="24"/>
        </w:rPr>
        <w:t xml:space="preserve">, </w:t>
      </w:r>
      <w:r w:rsidRPr="00103C39">
        <w:rPr>
          <w:rFonts w:ascii="Times New Roman" w:hAnsi="Times New Roman"/>
          <w:i/>
          <w:iCs/>
          <w:color w:val="000000" w:themeColor="text1"/>
          <w:sz w:val="24"/>
          <w:szCs w:val="24"/>
        </w:rPr>
        <w:t>41</w:t>
      </w:r>
      <w:r w:rsidRPr="00103C39">
        <w:rPr>
          <w:rFonts w:ascii="Times New Roman" w:hAnsi="Times New Roman"/>
          <w:color w:val="000000" w:themeColor="text1"/>
          <w:sz w:val="24"/>
          <w:szCs w:val="24"/>
        </w:rPr>
        <w:t xml:space="preserve">, 137-153. </w:t>
      </w:r>
    </w:p>
    <w:p w14:paraId="4FC69FAE" w14:textId="77777777" w:rsidR="00B134FB" w:rsidRDefault="00B134FB" w:rsidP="00104830">
      <w:pPr>
        <w:widowControl w:val="0"/>
        <w:adjustRightInd w:val="0"/>
        <w:snapToGrid w:val="0"/>
        <w:spacing w:after="0" w:line="480" w:lineRule="auto"/>
        <w:rPr>
          <w:rFonts w:ascii="Times New Roman" w:hAnsi="Times New Roman"/>
          <w:i/>
        </w:rPr>
      </w:pPr>
      <w:r w:rsidRPr="00103C39">
        <w:rPr>
          <w:rFonts w:ascii="Times New Roman" w:hAnsi="Times New Roman"/>
        </w:rPr>
        <w:t>Bahr, P. R., Jackson, G., McNaughtan, J., Oster, M., and Gross, J. (</w:t>
      </w:r>
      <w:r>
        <w:rPr>
          <w:rFonts w:ascii="Times New Roman" w:hAnsi="Times New Roman"/>
        </w:rPr>
        <w:t>2015</w:t>
      </w:r>
      <w:r w:rsidRPr="00103C39">
        <w:rPr>
          <w:rFonts w:ascii="Times New Roman" w:hAnsi="Times New Roman"/>
        </w:rPr>
        <w:t xml:space="preserve">). </w:t>
      </w:r>
      <w:r w:rsidRPr="00103C39">
        <w:rPr>
          <w:rFonts w:ascii="Times New Roman" w:hAnsi="Times New Roman"/>
          <w:i/>
        </w:rPr>
        <w:t xml:space="preserve">Unrealized potential: </w:t>
      </w:r>
    </w:p>
    <w:p w14:paraId="11E8C808" w14:textId="77777777" w:rsidR="00B134FB" w:rsidRPr="00B134FB" w:rsidRDefault="00B134FB" w:rsidP="00104830">
      <w:pPr>
        <w:widowControl w:val="0"/>
        <w:adjustRightInd w:val="0"/>
        <w:snapToGrid w:val="0"/>
        <w:spacing w:after="0" w:line="480" w:lineRule="auto"/>
        <w:ind w:left="720"/>
        <w:rPr>
          <w:rFonts w:ascii="Times New Roman" w:eastAsia="Arial Unicode MS" w:hAnsi="Times New Roman"/>
        </w:rPr>
      </w:pPr>
      <w:r w:rsidRPr="00103C39">
        <w:rPr>
          <w:rFonts w:ascii="Times New Roman" w:hAnsi="Times New Roman"/>
          <w:i/>
        </w:rPr>
        <w:t>Community college pathways to STEM baccalaureate degrees</w:t>
      </w:r>
      <w:r w:rsidRPr="00103C39">
        <w:rPr>
          <w:rFonts w:ascii="Times New Roman" w:hAnsi="Times New Roman"/>
        </w:rPr>
        <w:t>. Ann Arbor, Michigan: Center for the Study of Higher and Postsecondary Education, School of Education, University of Michigan. Retrieved from http://www.soe.umich.edu/people/profile/peter_riley_bahr/</w:t>
      </w:r>
    </w:p>
    <w:p w14:paraId="2A4E8B03" w14:textId="77777777" w:rsidR="00B134FB" w:rsidRPr="0040274A" w:rsidRDefault="00B134FB" w:rsidP="00104830">
      <w:pPr>
        <w:widowControl w:val="0"/>
        <w:spacing w:after="0" w:line="480" w:lineRule="auto"/>
        <w:ind w:left="720" w:hanging="720"/>
        <w:rPr>
          <w:rFonts w:ascii="Times New Roman" w:hAnsi="Times New Roman"/>
          <w:bCs/>
          <w:sz w:val="24"/>
          <w:szCs w:val="24"/>
          <w:lang w:eastAsia="zh-CN"/>
        </w:rPr>
      </w:pPr>
      <w:r w:rsidRPr="00103C39">
        <w:rPr>
          <w:rFonts w:ascii="Times New Roman" w:hAnsi="Times New Roman"/>
          <w:bCs/>
          <w:sz w:val="24"/>
          <w:szCs w:val="24"/>
          <w:lang w:eastAsia="zh-CN"/>
        </w:rPr>
        <w:t xml:space="preserve">Bragg, D. D. (2012). Two-year college mathematics and student progression in STEM programs of study. In S. Olson and J.B. </w:t>
      </w:r>
      <w:proofErr w:type="spellStart"/>
      <w:r w:rsidRPr="00103C39">
        <w:rPr>
          <w:rFonts w:ascii="Times New Roman" w:hAnsi="Times New Roman"/>
          <w:bCs/>
          <w:sz w:val="24"/>
          <w:szCs w:val="24"/>
          <w:lang w:eastAsia="zh-CN"/>
        </w:rPr>
        <w:t>Labov</w:t>
      </w:r>
      <w:proofErr w:type="spellEnd"/>
      <w:r w:rsidRPr="00103C39">
        <w:rPr>
          <w:rFonts w:ascii="Times New Roman" w:hAnsi="Times New Roman"/>
          <w:bCs/>
          <w:sz w:val="24"/>
          <w:szCs w:val="24"/>
          <w:lang w:eastAsia="zh-CN"/>
        </w:rPr>
        <w:t xml:space="preserve"> (Rapporteurs),</w:t>
      </w:r>
      <w:r w:rsidRPr="00103C39">
        <w:rPr>
          <w:rFonts w:ascii="Times New Roman" w:hAnsi="Times New Roman"/>
          <w:bCs/>
          <w:i/>
          <w:iCs/>
          <w:sz w:val="24"/>
          <w:szCs w:val="24"/>
          <w:lang w:eastAsia="zh-CN"/>
        </w:rPr>
        <w:t xml:space="preserve"> Community colleges in the evolving STEM education landscape: Summary of a summit</w:t>
      </w:r>
      <w:r w:rsidRPr="00103C39">
        <w:rPr>
          <w:rFonts w:ascii="Times New Roman" w:hAnsi="Times New Roman"/>
          <w:bCs/>
          <w:sz w:val="24"/>
          <w:szCs w:val="24"/>
          <w:lang w:eastAsia="zh-CN"/>
        </w:rPr>
        <w:t xml:space="preserve"> (pp. 81-105). Washington, DC: The National Academies Press. </w:t>
      </w:r>
    </w:p>
    <w:p w14:paraId="2237BD18" w14:textId="77777777" w:rsidR="0040274A" w:rsidRPr="00103C39" w:rsidRDefault="0040274A" w:rsidP="00104830">
      <w:pPr>
        <w:widowControl w:val="0"/>
        <w:spacing w:after="0" w:line="480" w:lineRule="auto"/>
        <w:ind w:left="720" w:hanging="720"/>
        <w:rPr>
          <w:rFonts w:ascii="Times New Roman" w:eastAsia="SimSun" w:hAnsi="Times New Roman"/>
          <w:sz w:val="24"/>
          <w:szCs w:val="24"/>
          <w:shd w:val="clear" w:color="auto" w:fill="FFFFFF"/>
          <w:lang w:eastAsia="zh-CN"/>
        </w:rPr>
      </w:pPr>
      <w:r w:rsidRPr="00103C39">
        <w:rPr>
          <w:rFonts w:ascii="Times New Roman" w:eastAsia="SimSun" w:hAnsi="Times New Roman"/>
          <w:sz w:val="24"/>
          <w:szCs w:val="24"/>
          <w:shd w:val="clear" w:color="auto" w:fill="FFFFFF"/>
          <w:lang w:eastAsia="zh-CN"/>
        </w:rPr>
        <w:t xml:space="preserve">California Community Colleges Chancellor’s Office. (2016). </w:t>
      </w:r>
      <w:r w:rsidRPr="00103C39">
        <w:rPr>
          <w:rFonts w:ascii="Times New Roman" w:eastAsia="SimSun" w:hAnsi="Times New Roman"/>
          <w:i/>
          <w:sz w:val="24"/>
          <w:szCs w:val="24"/>
          <w:shd w:val="clear" w:color="auto" w:fill="FFFFFF"/>
          <w:lang w:eastAsia="zh-CN"/>
        </w:rPr>
        <w:t xml:space="preserve">California Community Colleges Key Facts. </w:t>
      </w:r>
      <w:r w:rsidRPr="00103C39">
        <w:rPr>
          <w:rFonts w:ascii="Times New Roman" w:eastAsia="SimSun" w:hAnsi="Times New Roman"/>
          <w:sz w:val="24"/>
          <w:szCs w:val="24"/>
          <w:shd w:val="clear" w:color="auto" w:fill="FFFFFF"/>
          <w:lang w:eastAsia="zh-CN"/>
        </w:rPr>
        <w:t xml:space="preserve">Retrieved from </w:t>
      </w:r>
      <w:r w:rsidRPr="00BC0B9E">
        <w:rPr>
          <w:rFonts w:ascii="Times New Roman" w:eastAsia="SimSun" w:hAnsi="Times New Roman"/>
          <w:sz w:val="24"/>
          <w:szCs w:val="24"/>
          <w:shd w:val="clear" w:color="auto" w:fill="FFFFFF"/>
          <w:lang w:eastAsia="zh-CN"/>
        </w:rPr>
        <w:t>http://californiacommunitycolleges.cccco.edu/PolicyInAction/</w:t>
      </w:r>
    </w:p>
    <w:p w14:paraId="4F5E14BD" w14:textId="77777777" w:rsidR="0040274A" w:rsidRPr="00103C39" w:rsidRDefault="0040274A" w:rsidP="00104830">
      <w:pPr>
        <w:widowControl w:val="0"/>
        <w:spacing w:after="0" w:line="480" w:lineRule="auto"/>
        <w:ind w:left="720"/>
        <w:rPr>
          <w:rFonts w:ascii="Times New Roman" w:eastAsia="SimSun" w:hAnsi="Times New Roman"/>
          <w:sz w:val="24"/>
          <w:szCs w:val="24"/>
          <w:shd w:val="clear" w:color="auto" w:fill="FFFFFF"/>
          <w:lang w:eastAsia="zh-CN"/>
        </w:rPr>
      </w:pPr>
      <w:r w:rsidRPr="00103C39">
        <w:rPr>
          <w:rFonts w:ascii="Times New Roman" w:eastAsia="SimSun" w:hAnsi="Times New Roman"/>
          <w:sz w:val="24"/>
          <w:szCs w:val="24"/>
          <w:shd w:val="clear" w:color="auto" w:fill="FFFFFF"/>
          <w:lang w:eastAsia="zh-CN"/>
        </w:rPr>
        <w:t>KeyFacts.aspx</w:t>
      </w:r>
    </w:p>
    <w:p w14:paraId="674E7A63" w14:textId="77777777" w:rsidR="00B134FB" w:rsidRPr="00103C39" w:rsidRDefault="00B134FB" w:rsidP="00104830">
      <w:pPr>
        <w:widowControl w:val="0"/>
        <w:spacing w:after="0" w:line="480" w:lineRule="auto"/>
        <w:ind w:left="720" w:hanging="720"/>
        <w:rPr>
          <w:rFonts w:ascii="Times New Roman" w:eastAsia="SimSun" w:hAnsi="Times New Roman"/>
          <w:sz w:val="24"/>
          <w:szCs w:val="24"/>
          <w:shd w:val="clear" w:color="auto" w:fill="FFFFFF"/>
          <w:lang w:eastAsia="zh-CN"/>
        </w:rPr>
      </w:pPr>
      <w:proofErr w:type="spellStart"/>
      <w:r w:rsidRPr="00103C39">
        <w:rPr>
          <w:rFonts w:ascii="Times New Roman" w:eastAsia="SimSun" w:hAnsi="Times New Roman"/>
          <w:sz w:val="24"/>
          <w:szCs w:val="24"/>
          <w:shd w:val="clear" w:color="auto" w:fill="FFFFFF"/>
          <w:lang w:eastAsia="zh-CN"/>
        </w:rPr>
        <w:t>Carnevale</w:t>
      </w:r>
      <w:proofErr w:type="spellEnd"/>
      <w:r w:rsidRPr="00103C39">
        <w:rPr>
          <w:rFonts w:ascii="Times New Roman" w:eastAsia="SimSun" w:hAnsi="Times New Roman"/>
          <w:sz w:val="24"/>
          <w:szCs w:val="24"/>
          <w:shd w:val="clear" w:color="auto" w:fill="FFFFFF"/>
          <w:lang w:eastAsia="zh-CN"/>
        </w:rPr>
        <w:t xml:space="preserve">, A.P., Smith, N., &amp; Melton, M. (2011). </w:t>
      </w:r>
      <w:r w:rsidRPr="00103C39">
        <w:rPr>
          <w:rFonts w:ascii="Times New Roman" w:eastAsia="SimSun" w:hAnsi="Times New Roman"/>
          <w:i/>
          <w:iCs/>
          <w:sz w:val="24"/>
          <w:szCs w:val="24"/>
          <w:shd w:val="clear" w:color="auto" w:fill="FFFFFF"/>
          <w:lang w:eastAsia="zh-CN"/>
        </w:rPr>
        <w:t xml:space="preserve">STEM. </w:t>
      </w:r>
      <w:r w:rsidRPr="00103C39">
        <w:rPr>
          <w:rFonts w:ascii="Times New Roman" w:eastAsia="SimSun" w:hAnsi="Times New Roman"/>
          <w:sz w:val="24"/>
          <w:szCs w:val="24"/>
          <w:shd w:val="clear" w:color="auto" w:fill="FFFFFF"/>
          <w:lang w:eastAsia="zh-CN"/>
        </w:rPr>
        <w:t>Washington, DC: Center on Education and the Workforce</w:t>
      </w:r>
      <w:r>
        <w:rPr>
          <w:rFonts w:ascii="Times New Roman" w:eastAsia="SimSun" w:hAnsi="Times New Roman"/>
          <w:sz w:val="24"/>
          <w:szCs w:val="24"/>
          <w:shd w:val="clear" w:color="auto" w:fill="FFFFFF"/>
          <w:lang w:eastAsia="zh-CN"/>
        </w:rPr>
        <w:t>.</w:t>
      </w:r>
      <w:r w:rsidRPr="00103C39">
        <w:rPr>
          <w:rFonts w:ascii="Times New Roman" w:eastAsia="SimSun" w:hAnsi="Times New Roman"/>
          <w:sz w:val="24"/>
          <w:szCs w:val="24"/>
          <w:shd w:val="clear" w:color="auto" w:fill="FFFFFF"/>
          <w:lang w:eastAsia="zh-CN"/>
        </w:rPr>
        <w:t xml:space="preserve"> Georgetown University. </w:t>
      </w:r>
    </w:p>
    <w:p w14:paraId="48BA1F1A" w14:textId="77777777" w:rsidR="00B134FB" w:rsidRPr="00A02C0D" w:rsidRDefault="00B134FB" w:rsidP="00104830">
      <w:pPr>
        <w:pStyle w:val="Normal1"/>
        <w:spacing w:after="0" w:line="480" w:lineRule="auto"/>
        <w:rPr>
          <w:rFonts w:ascii="Times New Roman" w:hAnsi="Times New Roman" w:cs="Times New Roman"/>
          <w:color w:val="auto"/>
          <w:sz w:val="24"/>
          <w:szCs w:val="24"/>
          <w:shd w:val="clear" w:color="auto" w:fill="FFFFFF"/>
        </w:rPr>
      </w:pPr>
    </w:p>
    <w:p w14:paraId="2747FAF1" w14:textId="77777777" w:rsidR="00724526" w:rsidRDefault="002A0032" w:rsidP="00104830">
      <w:pPr>
        <w:pStyle w:val="Normal1"/>
        <w:spacing w:after="0" w:line="480" w:lineRule="auto"/>
        <w:rPr>
          <w:rFonts w:ascii="Times New Roman" w:hAnsi="Times New Roman" w:cs="Times New Roman"/>
          <w:color w:val="auto"/>
          <w:sz w:val="24"/>
          <w:szCs w:val="24"/>
          <w:shd w:val="clear" w:color="auto" w:fill="FFFFFF"/>
        </w:rPr>
      </w:pPr>
      <w:proofErr w:type="spellStart"/>
      <w:r w:rsidRPr="00A02C0D">
        <w:rPr>
          <w:rFonts w:ascii="Times New Roman" w:hAnsi="Times New Roman" w:cs="Times New Roman"/>
          <w:color w:val="auto"/>
          <w:sz w:val="24"/>
          <w:szCs w:val="24"/>
          <w:shd w:val="clear" w:color="auto" w:fill="FFFFFF"/>
        </w:rPr>
        <w:lastRenderedPageBreak/>
        <w:t>Charette</w:t>
      </w:r>
      <w:proofErr w:type="spellEnd"/>
      <w:r w:rsidRPr="00A02C0D">
        <w:rPr>
          <w:rFonts w:ascii="Times New Roman" w:hAnsi="Times New Roman" w:cs="Times New Roman"/>
          <w:color w:val="auto"/>
          <w:sz w:val="24"/>
          <w:szCs w:val="24"/>
          <w:shd w:val="clear" w:color="auto" w:fill="FFFFFF"/>
        </w:rPr>
        <w:t>, R. N. (2013). The STEM crisis is a myth.</w:t>
      </w:r>
      <w:r w:rsidRPr="00A02C0D">
        <w:rPr>
          <w:rStyle w:val="apple-converted-space"/>
          <w:rFonts w:ascii="Times New Roman" w:hAnsi="Times New Roman" w:cs="Times New Roman"/>
          <w:color w:val="auto"/>
          <w:sz w:val="24"/>
          <w:szCs w:val="24"/>
          <w:shd w:val="clear" w:color="auto" w:fill="FFFFFF"/>
        </w:rPr>
        <w:t> </w:t>
      </w:r>
      <w:r w:rsidRPr="00A02C0D">
        <w:rPr>
          <w:rFonts w:ascii="Times New Roman" w:hAnsi="Times New Roman" w:cs="Times New Roman"/>
          <w:i/>
          <w:iCs/>
          <w:color w:val="auto"/>
          <w:sz w:val="24"/>
          <w:szCs w:val="24"/>
          <w:shd w:val="clear" w:color="auto" w:fill="FFFFFF"/>
        </w:rPr>
        <w:t>IEEE Spectrum</w:t>
      </w:r>
      <w:r w:rsidRPr="00A02C0D">
        <w:rPr>
          <w:rFonts w:ascii="Times New Roman" w:hAnsi="Times New Roman" w:cs="Times New Roman"/>
          <w:color w:val="auto"/>
          <w:sz w:val="24"/>
          <w:szCs w:val="24"/>
          <w:shd w:val="clear" w:color="auto" w:fill="FFFFFF"/>
        </w:rPr>
        <w:t>,</w:t>
      </w:r>
      <w:r w:rsidRPr="00A02C0D">
        <w:rPr>
          <w:rStyle w:val="apple-converted-space"/>
          <w:rFonts w:ascii="Times New Roman" w:hAnsi="Times New Roman" w:cs="Times New Roman"/>
          <w:color w:val="auto"/>
          <w:sz w:val="24"/>
          <w:szCs w:val="24"/>
          <w:shd w:val="clear" w:color="auto" w:fill="FFFFFF"/>
        </w:rPr>
        <w:t> </w:t>
      </w:r>
      <w:r w:rsidRPr="00A02C0D">
        <w:rPr>
          <w:rFonts w:ascii="Times New Roman" w:hAnsi="Times New Roman" w:cs="Times New Roman"/>
          <w:i/>
          <w:iCs/>
          <w:color w:val="auto"/>
          <w:sz w:val="24"/>
          <w:szCs w:val="24"/>
          <w:shd w:val="clear" w:color="auto" w:fill="FFFFFF"/>
        </w:rPr>
        <w:t>50</w:t>
      </w:r>
      <w:r w:rsidRPr="00A02C0D">
        <w:rPr>
          <w:rFonts w:ascii="Times New Roman" w:hAnsi="Times New Roman" w:cs="Times New Roman"/>
          <w:color w:val="auto"/>
          <w:sz w:val="24"/>
          <w:szCs w:val="24"/>
          <w:shd w:val="clear" w:color="auto" w:fill="FFFFFF"/>
        </w:rPr>
        <w:t>(9), 44-59.</w:t>
      </w:r>
    </w:p>
    <w:p w14:paraId="0F72C8DE" w14:textId="77777777" w:rsidR="003A7A36" w:rsidRDefault="003A7A36" w:rsidP="00104830">
      <w:pPr>
        <w:widowControl w:val="0"/>
        <w:spacing w:after="0" w:line="480" w:lineRule="auto"/>
        <w:ind w:left="720" w:hanging="720"/>
        <w:rPr>
          <w:rFonts w:ascii="Times New Roman" w:eastAsia="SimSun" w:hAnsi="Times New Roman"/>
          <w:sz w:val="24"/>
          <w:szCs w:val="24"/>
          <w:shd w:val="clear" w:color="auto" w:fill="FFFFFF"/>
          <w:lang w:eastAsia="zh-CN"/>
        </w:rPr>
      </w:pPr>
      <w:r w:rsidRPr="00103C39">
        <w:rPr>
          <w:rFonts w:ascii="Times New Roman" w:eastAsia="SimSun" w:hAnsi="Times New Roman"/>
          <w:sz w:val="24"/>
          <w:szCs w:val="24"/>
          <w:shd w:val="clear" w:color="auto" w:fill="FFFFFF"/>
          <w:lang w:val="it-IT" w:eastAsia="zh-CN"/>
        </w:rPr>
        <w:t xml:space="preserve">Espinosa, L. L., &amp; Nellum, C. J. (2015). </w:t>
      </w:r>
      <w:r w:rsidRPr="00103C39">
        <w:rPr>
          <w:rFonts w:ascii="Times New Roman" w:eastAsia="SimSun" w:hAnsi="Times New Roman"/>
          <w:i/>
          <w:sz w:val="24"/>
          <w:szCs w:val="24"/>
          <w:shd w:val="clear" w:color="auto" w:fill="FFFFFF"/>
          <w:lang w:eastAsia="zh-CN"/>
        </w:rPr>
        <w:t>Five Things Student Affairs Professionals Can Do to Support Diverse Students in STEM</w:t>
      </w:r>
      <w:r w:rsidRPr="00103C39">
        <w:rPr>
          <w:rFonts w:ascii="Times New Roman" w:eastAsia="SimSun" w:hAnsi="Times New Roman"/>
          <w:sz w:val="24"/>
          <w:szCs w:val="24"/>
          <w:shd w:val="clear" w:color="auto" w:fill="FFFFFF"/>
          <w:lang w:eastAsia="zh-CN"/>
        </w:rPr>
        <w:t>. Washington, D.C.: Student Affairs Professionals in Higher Education (NASPA).</w:t>
      </w:r>
    </w:p>
    <w:p w14:paraId="4190B3E8" w14:textId="77777777" w:rsidR="00104830" w:rsidRPr="00161129" w:rsidRDefault="00104830" w:rsidP="00104830">
      <w:pPr>
        <w:widowControl w:val="0"/>
        <w:spacing w:after="0" w:line="480" w:lineRule="auto"/>
        <w:ind w:left="720" w:hanging="720"/>
        <w:rPr>
          <w:rFonts w:ascii="Times New Roman" w:eastAsia="SimSun" w:hAnsi="Times New Roman"/>
          <w:sz w:val="24"/>
          <w:szCs w:val="24"/>
          <w:shd w:val="clear" w:color="auto" w:fill="FFFFFF"/>
          <w:lang w:eastAsia="zh-CN"/>
        </w:rPr>
      </w:pPr>
      <w:r w:rsidRPr="00103C39">
        <w:rPr>
          <w:rFonts w:ascii="Times New Roman" w:eastAsia="SimSun" w:hAnsi="Times New Roman"/>
          <w:sz w:val="24"/>
          <w:szCs w:val="24"/>
          <w:shd w:val="clear" w:color="auto" w:fill="FFFFFF"/>
          <w:lang w:eastAsia="zh-CN"/>
        </w:rPr>
        <w:t xml:space="preserve">Hagedorn, L.S. (2006). </w:t>
      </w:r>
      <w:r w:rsidRPr="00103C39">
        <w:rPr>
          <w:rFonts w:ascii="Times New Roman" w:eastAsia="SimSun" w:hAnsi="Times New Roman"/>
          <w:i/>
          <w:sz w:val="24"/>
          <w:szCs w:val="24"/>
          <w:shd w:val="clear" w:color="auto" w:fill="FFFFFF"/>
          <w:lang w:eastAsia="zh-CN"/>
        </w:rPr>
        <w:t xml:space="preserve">Traveling successfully on the community college pathway: The research and findings of the Transfer and Retention of Urban Community College Students Project. </w:t>
      </w:r>
      <w:r w:rsidRPr="00161129">
        <w:rPr>
          <w:rFonts w:ascii="Times New Roman" w:eastAsia="SimSun" w:hAnsi="Times New Roman"/>
          <w:sz w:val="24"/>
          <w:szCs w:val="24"/>
          <w:shd w:val="clear" w:color="auto" w:fill="FFFFFF"/>
          <w:lang w:eastAsia="zh-CN"/>
        </w:rPr>
        <w:t xml:space="preserve">University of Southern California: </w:t>
      </w:r>
      <w:proofErr w:type="spellStart"/>
      <w:r w:rsidRPr="00161129">
        <w:rPr>
          <w:rFonts w:ascii="Times New Roman" w:eastAsia="SimSun" w:hAnsi="Times New Roman"/>
          <w:sz w:val="24"/>
          <w:szCs w:val="24"/>
          <w:shd w:val="clear" w:color="auto" w:fill="FFFFFF"/>
          <w:lang w:eastAsia="zh-CN"/>
        </w:rPr>
        <w:t>Rossier</w:t>
      </w:r>
      <w:proofErr w:type="spellEnd"/>
      <w:r w:rsidRPr="00161129">
        <w:rPr>
          <w:rFonts w:ascii="Times New Roman" w:eastAsia="SimSun" w:hAnsi="Times New Roman"/>
          <w:sz w:val="24"/>
          <w:szCs w:val="24"/>
          <w:shd w:val="clear" w:color="auto" w:fill="FFFFFF"/>
          <w:lang w:eastAsia="zh-CN"/>
        </w:rPr>
        <w:t xml:space="preserve"> School of Education.</w:t>
      </w:r>
    </w:p>
    <w:p w14:paraId="67529B27" w14:textId="77777777" w:rsidR="00A02C0D" w:rsidRPr="00A02C0D" w:rsidRDefault="002A0032" w:rsidP="00104830">
      <w:pPr>
        <w:pStyle w:val="Normal1"/>
        <w:spacing w:after="0" w:line="480" w:lineRule="auto"/>
        <w:rPr>
          <w:rFonts w:ascii="Times New Roman" w:hAnsi="Times New Roman" w:cs="Times New Roman"/>
          <w:color w:val="auto"/>
          <w:sz w:val="24"/>
          <w:szCs w:val="24"/>
          <w:shd w:val="clear" w:color="auto" w:fill="FFFFFF"/>
        </w:rPr>
      </w:pPr>
      <w:r w:rsidRPr="00A02C0D">
        <w:rPr>
          <w:rFonts w:ascii="Times New Roman" w:hAnsi="Times New Roman" w:cs="Times New Roman"/>
          <w:color w:val="auto"/>
          <w:sz w:val="24"/>
          <w:szCs w:val="24"/>
          <w:shd w:val="clear" w:color="auto" w:fill="FFFFFF"/>
        </w:rPr>
        <w:t xml:space="preserve">Hagedorn, L. S., Chi, W. Y., </w:t>
      </w:r>
      <w:proofErr w:type="spellStart"/>
      <w:r w:rsidRPr="00A02C0D">
        <w:rPr>
          <w:rFonts w:ascii="Times New Roman" w:hAnsi="Times New Roman" w:cs="Times New Roman"/>
          <w:color w:val="auto"/>
          <w:sz w:val="24"/>
          <w:szCs w:val="24"/>
          <w:shd w:val="clear" w:color="auto" w:fill="FFFFFF"/>
        </w:rPr>
        <w:t>Cepeda</w:t>
      </w:r>
      <w:proofErr w:type="spellEnd"/>
      <w:r w:rsidRPr="00A02C0D">
        <w:rPr>
          <w:rFonts w:ascii="Times New Roman" w:hAnsi="Times New Roman" w:cs="Times New Roman"/>
          <w:color w:val="auto"/>
          <w:sz w:val="24"/>
          <w:szCs w:val="24"/>
          <w:shd w:val="clear" w:color="auto" w:fill="FFFFFF"/>
        </w:rPr>
        <w:t xml:space="preserve">, R. M., &amp; McLain, M. (2007). An investigation of critical </w:t>
      </w:r>
    </w:p>
    <w:p w14:paraId="67171922" w14:textId="77777777" w:rsidR="00B134FB" w:rsidRPr="00104830" w:rsidRDefault="002A0032" w:rsidP="00104830">
      <w:pPr>
        <w:pStyle w:val="Normal1"/>
        <w:spacing w:after="0" w:line="480" w:lineRule="auto"/>
        <w:ind w:left="720"/>
        <w:rPr>
          <w:rFonts w:ascii="Times New Roman" w:hAnsi="Times New Roman" w:cs="Times New Roman"/>
          <w:color w:val="auto"/>
          <w:sz w:val="24"/>
          <w:szCs w:val="24"/>
          <w:shd w:val="clear" w:color="auto" w:fill="FFFFFF"/>
        </w:rPr>
      </w:pPr>
      <w:proofErr w:type="gramStart"/>
      <w:r w:rsidRPr="00A02C0D">
        <w:rPr>
          <w:rFonts w:ascii="Times New Roman" w:hAnsi="Times New Roman" w:cs="Times New Roman"/>
          <w:color w:val="auto"/>
          <w:sz w:val="24"/>
          <w:szCs w:val="24"/>
          <w:shd w:val="clear" w:color="auto" w:fill="FFFFFF"/>
        </w:rPr>
        <w:t>mass</w:t>
      </w:r>
      <w:proofErr w:type="gramEnd"/>
      <w:r w:rsidRPr="00A02C0D">
        <w:rPr>
          <w:rFonts w:ascii="Times New Roman" w:hAnsi="Times New Roman" w:cs="Times New Roman"/>
          <w:color w:val="auto"/>
          <w:sz w:val="24"/>
          <w:szCs w:val="24"/>
          <w:shd w:val="clear" w:color="auto" w:fill="FFFFFF"/>
        </w:rPr>
        <w:t>: The role of Latino representation in the success of urban community college students.</w:t>
      </w:r>
      <w:r w:rsidRPr="00A02C0D">
        <w:rPr>
          <w:rStyle w:val="apple-converted-space"/>
          <w:rFonts w:ascii="Times New Roman" w:hAnsi="Times New Roman" w:cs="Times New Roman"/>
          <w:color w:val="auto"/>
          <w:sz w:val="24"/>
          <w:szCs w:val="24"/>
          <w:shd w:val="clear" w:color="auto" w:fill="FFFFFF"/>
        </w:rPr>
        <w:t> </w:t>
      </w:r>
      <w:r w:rsidRPr="00A02C0D">
        <w:rPr>
          <w:rFonts w:ascii="Times New Roman" w:hAnsi="Times New Roman" w:cs="Times New Roman"/>
          <w:i/>
          <w:iCs/>
          <w:color w:val="auto"/>
          <w:sz w:val="24"/>
          <w:szCs w:val="24"/>
          <w:shd w:val="clear" w:color="auto" w:fill="FFFFFF"/>
        </w:rPr>
        <w:t>Research in Higher Education</w:t>
      </w:r>
      <w:r w:rsidRPr="00A02C0D">
        <w:rPr>
          <w:rFonts w:ascii="Times New Roman" w:hAnsi="Times New Roman" w:cs="Times New Roman"/>
          <w:color w:val="auto"/>
          <w:sz w:val="24"/>
          <w:szCs w:val="24"/>
          <w:shd w:val="clear" w:color="auto" w:fill="FFFFFF"/>
        </w:rPr>
        <w:t>,</w:t>
      </w:r>
      <w:r w:rsidRPr="00A02C0D">
        <w:rPr>
          <w:rStyle w:val="apple-converted-space"/>
          <w:rFonts w:ascii="Times New Roman" w:hAnsi="Times New Roman" w:cs="Times New Roman"/>
          <w:color w:val="auto"/>
          <w:sz w:val="24"/>
          <w:szCs w:val="24"/>
          <w:shd w:val="clear" w:color="auto" w:fill="FFFFFF"/>
        </w:rPr>
        <w:t> </w:t>
      </w:r>
      <w:r w:rsidRPr="00A02C0D">
        <w:rPr>
          <w:rFonts w:ascii="Times New Roman" w:hAnsi="Times New Roman" w:cs="Times New Roman"/>
          <w:i/>
          <w:iCs/>
          <w:color w:val="auto"/>
          <w:sz w:val="24"/>
          <w:szCs w:val="24"/>
          <w:shd w:val="clear" w:color="auto" w:fill="FFFFFF"/>
        </w:rPr>
        <w:t>48</w:t>
      </w:r>
      <w:r w:rsidRPr="00A02C0D">
        <w:rPr>
          <w:rFonts w:ascii="Times New Roman" w:hAnsi="Times New Roman" w:cs="Times New Roman"/>
          <w:color w:val="auto"/>
          <w:sz w:val="24"/>
          <w:szCs w:val="24"/>
          <w:shd w:val="clear" w:color="auto" w:fill="FFFFFF"/>
        </w:rPr>
        <w:t>(1), 73-91.</w:t>
      </w:r>
    </w:p>
    <w:p w14:paraId="7C2C11C1" w14:textId="77777777" w:rsidR="00B134FB" w:rsidRDefault="00B134FB" w:rsidP="00104830">
      <w:pPr>
        <w:widowControl w:val="0"/>
        <w:spacing w:after="0" w:line="480" w:lineRule="auto"/>
        <w:ind w:left="720" w:hanging="720"/>
        <w:rPr>
          <w:rFonts w:ascii="Times New Roman" w:eastAsia="SimSun" w:hAnsi="Times New Roman"/>
          <w:sz w:val="24"/>
          <w:szCs w:val="24"/>
          <w:shd w:val="clear" w:color="auto" w:fill="FFFFFF"/>
          <w:lang w:eastAsia="zh-CN"/>
        </w:rPr>
      </w:pPr>
      <w:r w:rsidRPr="00103C39">
        <w:rPr>
          <w:rFonts w:ascii="Times New Roman" w:eastAsia="SimSun" w:hAnsi="Times New Roman"/>
          <w:sz w:val="24"/>
          <w:szCs w:val="24"/>
          <w:shd w:val="clear" w:color="auto" w:fill="FFFFFF"/>
          <w:lang w:eastAsia="zh-CN"/>
        </w:rPr>
        <w:t xml:space="preserve">Hagedorn, L. S., &amp; Lester, J. (2006). Hispanic community college students and the transfer game: Strikes, misses, and grand slam experiences. </w:t>
      </w:r>
      <w:r w:rsidRPr="00103C39">
        <w:rPr>
          <w:rFonts w:ascii="Times New Roman" w:eastAsia="SimSun" w:hAnsi="Times New Roman"/>
          <w:i/>
          <w:iCs/>
          <w:sz w:val="24"/>
          <w:szCs w:val="24"/>
          <w:shd w:val="clear" w:color="auto" w:fill="FFFFFF"/>
          <w:lang w:eastAsia="zh-CN"/>
        </w:rPr>
        <w:t>Community College Journal of Research and Practice</w:t>
      </w:r>
      <w:r w:rsidRPr="00103C39">
        <w:rPr>
          <w:rFonts w:ascii="Times New Roman" w:eastAsia="SimSun" w:hAnsi="Times New Roman"/>
          <w:sz w:val="24"/>
          <w:szCs w:val="24"/>
          <w:shd w:val="clear" w:color="auto" w:fill="FFFFFF"/>
          <w:lang w:eastAsia="zh-CN"/>
        </w:rPr>
        <w:t xml:space="preserve">, </w:t>
      </w:r>
      <w:r w:rsidRPr="00103C39">
        <w:rPr>
          <w:rFonts w:ascii="Times New Roman" w:eastAsia="SimSun" w:hAnsi="Times New Roman"/>
          <w:i/>
          <w:iCs/>
          <w:sz w:val="24"/>
          <w:szCs w:val="24"/>
          <w:shd w:val="clear" w:color="auto" w:fill="FFFFFF"/>
          <w:lang w:eastAsia="zh-CN"/>
        </w:rPr>
        <w:t>30</w:t>
      </w:r>
      <w:r w:rsidRPr="00103C39">
        <w:rPr>
          <w:rFonts w:ascii="Times New Roman" w:eastAsia="SimSun" w:hAnsi="Times New Roman"/>
          <w:sz w:val="24"/>
          <w:szCs w:val="24"/>
          <w:shd w:val="clear" w:color="auto" w:fill="FFFFFF"/>
          <w:lang w:eastAsia="zh-CN"/>
        </w:rPr>
        <w:t>, 827-853.</w:t>
      </w:r>
    </w:p>
    <w:p w14:paraId="41B2023D" w14:textId="77777777" w:rsidR="003A7A36" w:rsidRPr="00103C39" w:rsidRDefault="003A7A36" w:rsidP="00104830">
      <w:pPr>
        <w:widowControl w:val="0"/>
        <w:spacing w:after="0" w:line="480" w:lineRule="auto"/>
        <w:ind w:left="720" w:hanging="720"/>
        <w:rPr>
          <w:rFonts w:ascii="Times New Roman" w:eastAsia="SimSun" w:hAnsi="Times New Roman"/>
          <w:bCs/>
          <w:sz w:val="24"/>
          <w:szCs w:val="24"/>
          <w:lang w:eastAsia="zh-CN"/>
        </w:rPr>
      </w:pPr>
      <w:proofErr w:type="spellStart"/>
      <w:r w:rsidRPr="00103C39">
        <w:rPr>
          <w:rFonts w:ascii="Times New Roman" w:eastAsia="SimSun" w:hAnsi="Times New Roman"/>
          <w:bCs/>
          <w:sz w:val="24"/>
          <w:szCs w:val="24"/>
          <w:lang w:eastAsia="zh-CN"/>
        </w:rPr>
        <w:t>Landivar</w:t>
      </w:r>
      <w:proofErr w:type="spellEnd"/>
      <w:r w:rsidRPr="00103C39">
        <w:rPr>
          <w:rFonts w:ascii="Times New Roman" w:eastAsia="SimSun" w:hAnsi="Times New Roman"/>
          <w:bCs/>
          <w:sz w:val="24"/>
          <w:szCs w:val="24"/>
          <w:lang w:eastAsia="zh-CN"/>
        </w:rPr>
        <w:t xml:space="preserve">, L.C. (2013). Disparities in STEM employment by sex, race, and Hispanic origin. </w:t>
      </w:r>
      <w:r w:rsidRPr="00103C39">
        <w:rPr>
          <w:rFonts w:ascii="Times New Roman" w:eastAsia="SimSun" w:hAnsi="Times New Roman"/>
          <w:bCs/>
          <w:i/>
          <w:sz w:val="24"/>
          <w:szCs w:val="24"/>
          <w:lang w:eastAsia="zh-CN"/>
        </w:rPr>
        <w:t xml:space="preserve">American Community Survey Reports, </w:t>
      </w:r>
      <w:r w:rsidRPr="00103C39">
        <w:rPr>
          <w:rFonts w:ascii="Times New Roman" w:eastAsia="SimSun" w:hAnsi="Times New Roman"/>
          <w:bCs/>
          <w:sz w:val="24"/>
          <w:szCs w:val="24"/>
          <w:lang w:eastAsia="zh-CN"/>
        </w:rPr>
        <w:t>(24). Washington, DC: U.S. Department of Commerce, Economic and Statistics Administration, U.S. Census Bureau.</w:t>
      </w:r>
    </w:p>
    <w:p w14:paraId="650CB201" w14:textId="77777777" w:rsidR="00A02C0D" w:rsidRPr="003A7A36" w:rsidRDefault="002A0032" w:rsidP="00104830">
      <w:pPr>
        <w:widowControl w:val="0"/>
        <w:spacing w:after="0" w:line="480" w:lineRule="auto"/>
        <w:ind w:left="720" w:hanging="720"/>
        <w:rPr>
          <w:rFonts w:ascii="Times New Roman" w:eastAsia="SimSun" w:hAnsi="Times New Roman"/>
          <w:i/>
          <w:sz w:val="24"/>
          <w:szCs w:val="24"/>
          <w:shd w:val="clear" w:color="auto" w:fill="FFFFFF"/>
          <w:lang w:eastAsia="zh-CN"/>
        </w:rPr>
      </w:pPr>
      <w:r w:rsidRPr="00A02C0D">
        <w:rPr>
          <w:rFonts w:ascii="Times New Roman" w:hAnsi="Times New Roman" w:cs="Times New Roman"/>
          <w:color w:val="auto"/>
          <w:sz w:val="24"/>
          <w:szCs w:val="24"/>
        </w:rPr>
        <w:t xml:space="preserve"> </w:t>
      </w:r>
      <w:proofErr w:type="spellStart"/>
      <w:r w:rsidRPr="00A02C0D">
        <w:rPr>
          <w:rFonts w:ascii="Times New Roman" w:hAnsi="Times New Roman" w:cs="Times New Roman"/>
          <w:color w:val="auto"/>
          <w:sz w:val="24"/>
          <w:szCs w:val="24"/>
        </w:rPr>
        <w:t>Lynn</w:t>
      </w:r>
      <w:proofErr w:type="gramStart"/>
      <w:r w:rsidR="00B134FB">
        <w:rPr>
          <w:rFonts w:ascii="Times New Roman" w:hAnsi="Times New Roman" w:cs="Times New Roman"/>
          <w:color w:val="auto"/>
          <w:sz w:val="24"/>
          <w:szCs w:val="24"/>
        </w:rPr>
        <w:t>,L</w:t>
      </w:r>
      <w:proofErr w:type="spellEnd"/>
      <w:proofErr w:type="gramEnd"/>
      <w:r w:rsidR="00B134FB">
        <w:rPr>
          <w:rFonts w:ascii="Times New Roman" w:hAnsi="Times New Roman" w:cs="Times New Roman"/>
          <w:color w:val="auto"/>
          <w:sz w:val="24"/>
          <w:szCs w:val="24"/>
        </w:rPr>
        <w:t>. &amp;</w:t>
      </w:r>
      <w:r w:rsidRPr="00A02C0D">
        <w:rPr>
          <w:rFonts w:ascii="Times New Roman" w:hAnsi="Times New Roman" w:cs="Times New Roman"/>
          <w:color w:val="auto"/>
          <w:sz w:val="24"/>
          <w:szCs w:val="24"/>
        </w:rPr>
        <w:t xml:space="preserve"> </w:t>
      </w:r>
      <w:proofErr w:type="spellStart"/>
      <w:r w:rsidRPr="00A02C0D">
        <w:rPr>
          <w:rFonts w:ascii="Times New Roman" w:hAnsi="Times New Roman" w:cs="Times New Roman"/>
          <w:color w:val="auto"/>
          <w:sz w:val="24"/>
          <w:szCs w:val="24"/>
        </w:rPr>
        <w:t>Salzman</w:t>
      </w:r>
      <w:proofErr w:type="spellEnd"/>
      <w:r w:rsidRPr="00A02C0D">
        <w:rPr>
          <w:rFonts w:ascii="Times New Roman" w:hAnsi="Times New Roman" w:cs="Times New Roman"/>
          <w:color w:val="auto"/>
          <w:sz w:val="24"/>
          <w:szCs w:val="24"/>
        </w:rPr>
        <w:t>,</w:t>
      </w:r>
      <w:r w:rsidR="00B134FB">
        <w:rPr>
          <w:rFonts w:ascii="Times New Roman" w:hAnsi="Times New Roman" w:cs="Times New Roman"/>
          <w:color w:val="auto"/>
          <w:sz w:val="24"/>
          <w:szCs w:val="24"/>
        </w:rPr>
        <w:t xml:space="preserve"> H. (2010).</w:t>
      </w:r>
      <w:r w:rsidRPr="00A02C0D">
        <w:rPr>
          <w:rFonts w:ascii="Times New Roman" w:hAnsi="Times New Roman" w:cs="Times New Roman"/>
          <w:color w:val="auto"/>
          <w:sz w:val="24"/>
          <w:szCs w:val="24"/>
        </w:rPr>
        <w:t xml:space="preserve"> </w:t>
      </w:r>
      <w:r w:rsidRPr="003A7A36">
        <w:rPr>
          <w:rFonts w:ascii="Times New Roman" w:hAnsi="Times New Roman" w:cs="Times New Roman"/>
          <w:i/>
          <w:color w:val="auto"/>
          <w:sz w:val="24"/>
          <w:szCs w:val="24"/>
        </w:rPr>
        <w:t>Engineeri</w:t>
      </w:r>
      <w:r w:rsidR="00B134FB" w:rsidRPr="003A7A36">
        <w:rPr>
          <w:rFonts w:ascii="Times New Roman" w:hAnsi="Times New Roman" w:cs="Times New Roman"/>
          <w:i/>
          <w:color w:val="auto"/>
          <w:sz w:val="24"/>
          <w:szCs w:val="24"/>
        </w:rPr>
        <w:t xml:space="preserve">ng and engineering skills: What’s really </w:t>
      </w:r>
      <w:proofErr w:type="gramStart"/>
      <w:r w:rsidR="00B134FB" w:rsidRPr="003A7A36">
        <w:rPr>
          <w:rFonts w:ascii="Times New Roman" w:hAnsi="Times New Roman" w:cs="Times New Roman"/>
          <w:i/>
          <w:color w:val="auto"/>
          <w:sz w:val="24"/>
          <w:szCs w:val="24"/>
        </w:rPr>
        <w:t>n</w:t>
      </w:r>
      <w:r w:rsidRPr="003A7A36">
        <w:rPr>
          <w:rFonts w:ascii="Times New Roman" w:hAnsi="Times New Roman" w:cs="Times New Roman"/>
          <w:i/>
          <w:color w:val="auto"/>
          <w:sz w:val="24"/>
          <w:szCs w:val="24"/>
        </w:rPr>
        <w:t>eeded</w:t>
      </w:r>
      <w:proofErr w:type="gramEnd"/>
      <w:r w:rsidRPr="003A7A36">
        <w:rPr>
          <w:rFonts w:ascii="Times New Roman" w:hAnsi="Times New Roman" w:cs="Times New Roman"/>
          <w:i/>
          <w:color w:val="auto"/>
          <w:sz w:val="24"/>
          <w:szCs w:val="24"/>
        </w:rPr>
        <w:t xml:space="preserve"> </w:t>
      </w:r>
    </w:p>
    <w:p w14:paraId="3315B405" w14:textId="77777777" w:rsidR="00724526" w:rsidRPr="00A02C0D" w:rsidRDefault="00B134FB" w:rsidP="00104830">
      <w:pPr>
        <w:pStyle w:val="Normal1"/>
        <w:spacing w:after="0" w:line="480" w:lineRule="auto"/>
        <w:ind w:left="720"/>
        <w:rPr>
          <w:rFonts w:ascii="Times New Roman" w:eastAsia="Times New Roman" w:hAnsi="Times New Roman" w:cs="Times New Roman"/>
          <w:color w:val="auto"/>
          <w:sz w:val="24"/>
          <w:szCs w:val="24"/>
        </w:rPr>
      </w:pPr>
      <w:proofErr w:type="gramStart"/>
      <w:r w:rsidRPr="003A7A36">
        <w:rPr>
          <w:rFonts w:ascii="Times New Roman" w:hAnsi="Times New Roman" w:cs="Times New Roman"/>
          <w:i/>
          <w:color w:val="auto"/>
          <w:sz w:val="24"/>
          <w:szCs w:val="24"/>
        </w:rPr>
        <w:t>for</w:t>
      </w:r>
      <w:proofErr w:type="gramEnd"/>
      <w:r w:rsidRPr="003A7A36">
        <w:rPr>
          <w:rFonts w:ascii="Times New Roman" w:hAnsi="Times New Roman" w:cs="Times New Roman"/>
          <w:i/>
          <w:color w:val="auto"/>
          <w:sz w:val="24"/>
          <w:szCs w:val="24"/>
        </w:rPr>
        <w:t xml:space="preserve"> global competi</w:t>
      </w:r>
      <w:r w:rsidR="002A0032" w:rsidRPr="003A7A36">
        <w:rPr>
          <w:rFonts w:ascii="Times New Roman" w:hAnsi="Times New Roman" w:cs="Times New Roman"/>
          <w:i/>
          <w:color w:val="auto"/>
          <w:sz w:val="24"/>
          <w:szCs w:val="24"/>
        </w:rPr>
        <w:t>tiveness</w:t>
      </w:r>
      <w:r w:rsidRPr="003A7A36">
        <w:rPr>
          <w:rFonts w:ascii="Times New Roman" w:hAnsi="Times New Roman" w:cs="Times New Roman"/>
          <w:i/>
          <w:color w:val="auto"/>
          <w:sz w:val="24"/>
          <w:szCs w:val="24"/>
        </w:rPr>
        <w:t>.</w:t>
      </w:r>
      <w:r>
        <w:rPr>
          <w:rFonts w:ascii="Times New Roman" w:hAnsi="Times New Roman" w:cs="Times New Roman"/>
          <w:color w:val="auto"/>
          <w:sz w:val="24"/>
          <w:szCs w:val="24"/>
        </w:rPr>
        <w:t xml:space="preserve"> </w:t>
      </w:r>
      <w:r w:rsidR="003A7A36">
        <w:rPr>
          <w:rFonts w:ascii="Times New Roman" w:hAnsi="Times New Roman" w:cs="Times New Roman"/>
          <w:color w:val="auto"/>
          <w:sz w:val="24"/>
          <w:szCs w:val="24"/>
        </w:rPr>
        <w:t>P</w:t>
      </w:r>
      <w:r w:rsidR="002A0032" w:rsidRPr="00A02C0D">
        <w:rPr>
          <w:rFonts w:ascii="Times New Roman" w:hAnsi="Times New Roman" w:cs="Times New Roman"/>
          <w:color w:val="auto"/>
          <w:sz w:val="24"/>
          <w:szCs w:val="24"/>
        </w:rPr>
        <w:t>aper Presented at the Association for Public Policy Analysis</w:t>
      </w:r>
      <w:r w:rsidR="003A7A36">
        <w:rPr>
          <w:rFonts w:ascii="Times New Roman" w:hAnsi="Times New Roman" w:cs="Times New Roman"/>
          <w:color w:val="auto"/>
          <w:sz w:val="24"/>
          <w:szCs w:val="24"/>
        </w:rPr>
        <w:t xml:space="preserve"> and Management Annual Meeting, </w:t>
      </w:r>
      <w:r w:rsidR="002A0032" w:rsidRPr="00A02C0D">
        <w:rPr>
          <w:rFonts w:ascii="Times New Roman" w:hAnsi="Times New Roman" w:cs="Times New Roman"/>
          <w:color w:val="auto"/>
          <w:sz w:val="24"/>
          <w:szCs w:val="24"/>
        </w:rPr>
        <w:t>Boston, MA.</w:t>
      </w:r>
    </w:p>
    <w:p w14:paraId="62A7ED9E" w14:textId="77777777" w:rsidR="00A02C0D" w:rsidRPr="00A02C0D" w:rsidRDefault="002A0032" w:rsidP="00104830">
      <w:pPr>
        <w:pStyle w:val="Normal1"/>
        <w:spacing w:after="0" w:line="480" w:lineRule="auto"/>
        <w:rPr>
          <w:rFonts w:ascii="Times New Roman" w:hAnsi="Times New Roman" w:cs="Times New Roman"/>
          <w:color w:val="auto"/>
          <w:sz w:val="24"/>
          <w:szCs w:val="24"/>
          <w:shd w:val="clear" w:color="auto" w:fill="FFFFFF"/>
        </w:rPr>
      </w:pPr>
      <w:proofErr w:type="spellStart"/>
      <w:r w:rsidRPr="00A02C0D">
        <w:rPr>
          <w:rFonts w:ascii="Times New Roman" w:hAnsi="Times New Roman" w:cs="Times New Roman"/>
          <w:color w:val="auto"/>
          <w:sz w:val="24"/>
          <w:szCs w:val="24"/>
          <w:shd w:val="clear" w:color="auto" w:fill="FFFFFF"/>
        </w:rPr>
        <w:t>Maton</w:t>
      </w:r>
      <w:proofErr w:type="spellEnd"/>
      <w:r w:rsidRPr="00A02C0D">
        <w:rPr>
          <w:rFonts w:ascii="Times New Roman" w:hAnsi="Times New Roman" w:cs="Times New Roman"/>
          <w:color w:val="auto"/>
          <w:sz w:val="24"/>
          <w:szCs w:val="24"/>
          <w:shd w:val="clear" w:color="auto" w:fill="FFFFFF"/>
        </w:rPr>
        <w:t xml:space="preserve">, K. I., &amp; </w:t>
      </w:r>
      <w:proofErr w:type="spellStart"/>
      <w:r w:rsidRPr="00A02C0D">
        <w:rPr>
          <w:rFonts w:ascii="Times New Roman" w:hAnsi="Times New Roman" w:cs="Times New Roman"/>
          <w:color w:val="auto"/>
          <w:sz w:val="24"/>
          <w:szCs w:val="24"/>
          <w:shd w:val="clear" w:color="auto" w:fill="FFFFFF"/>
        </w:rPr>
        <w:t>Hrabowski</w:t>
      </w:r>
      <w:proofErr w:type="spellEnd"/>
      <w:r w:rsidRPr="00A02C0D">
        <w:rPr>
          <w:rFonts w:ascii="Times New Roman" w:hAnsi="Times New Roman" w:cs="Times New Roman"/>
          <w:color w:val="auto"/>
          <w:sz w:val="24"/>
          <w:szCs w:val="24"/>
          <w:shd w:val="clear" w:color="auto" w:fill="FFFFFF"/>
        </w:rPr>
        <w:t xml:space="preserve"> III, F. A. (2004). Increasin</w:t>
      </w:r>
      <w:r w:rsidR="00A02C0D" w:rsidRPr="00A02C0D">
        <w:rPr>
          <w:rFonts w:ascii="Times New Roman" w:hAnsi="Times New Roman" w:cs="Times New Roman"/>
          <w:color w:val="auto"/>
          <w:sz w:val="24"/>
          <w:szCs w:val="24"/>
          <w:shd w:val="clear" w:color="auto" w:fill="FFFFFF"/>
        </w:rPr>
        <w:t>g the n</w:t>
      </w:r>
      <w:r w:rsidRPr="00A02C0D">
        <w:rPr>
          <w:rFonts w:ascii="Times New Roman" w:hAnsi="Times New Roman" w:cs="Times New Roman"/>
          <w:color w:val="auto"/>
          <w:sz w:val="24"/>
          <w:szCs w:val="24"/>
          <w:shd w:val="clear" w:color="auto" w:fill="FFFFFF"/>
        </w:rPr>
        <w:t xml:space="preserve">umber of African American PhDs </w:t>
      </w:r>
    </w:p>
    <w:p w14:paraId="5F53C361" w14:textId="77777777" w:rsidR="00724526" w:rsidRPr="00A02C0D" w:rsidRDefault="00A02C0D" w:rsidP="00104830">
      <w:pPr>
        <w:pStyle w:val="Normal1"/>
        <w:spacing w:after="0" w:line="480" w:lineRule="auto"/>
        <w:ind w:left="720"/>
        <w:rPr>
          <w:rFonts w:ascii="Times New Roman" w:hAnsi="Times New Roman" w:cs="Times New Roman"/>
          <w:color w:val="auto"/>
          <w:sz w:val="24"/>
          <w:szCs w:val="24"/>
          <w:shd w:val="clear" w:color="auto" w:fill="FFFFFF"/>
        </w:rPr>
      </w:pPr>
      <w:proofErr w:type="gramStart"/>
      <w:r w:rsidRPr="00A02C0D">
        <w:rPr>
          <w:rFonts w:ascii="Times New Roman" w:hAnsi="Times New Roman" w:cs="Times New Roman"/>
          <w:color w:val="auto"/>
          <w:sz w:val="24"/>
          <w:szCs w:val="24"/>
          <w:shd w:val="clear" w:color="auto" w:fill="FFFFFF"/>
        </w:rPr>
        <w:t>in</w:t>
      </w:r>
      <w:proofErr w:type="gramEnd"/>
      <w:r w:rsidRPr="00A02C0D">
        <w:rPr>
          <w:rFonts w:ascii="Times New Roman" w:hAnsi="Times New Roman" w:cs="Times New Roman"/>
          <w:color w:val="auto"/>
          <w:sz w:val="24"/>
          <w:szCs w:val="24"/>
          <w:shd w:val="clear" w:color="auto" w:fill="FFFFFF"/>
        </w:rPr>
        <w:t xml:space="preserve"> the sciences and e</w:t>
      </w:r>
      <w:r w:rsidR="002A0032" w:rsidRPr="00A02C0D">
        <w:rPr>
          <w:rFonts w:ascii="Times New Roman" w:hAnsi="Times New Roman" w:cs="Times New Roman"/>
          <w:color w:val="auto"/>
          <w:sz w:val="24"/>
          <w:szCs w:val="24"/>
          <w:shd w:val="clear" w:color="auto" w:fill="FFFFFF"/>
        </w:rPr>
        <w:t>ngineering</w:t>
      </w:r>
      <w:r w:rsidRPr="00A02C0D">
        <w:rPr>
          <w:rFonts w:ascii="Times New Roman" w:hAnsi="Times New Roman" w:cs="Times New Roman"/>
          <w:color w:val="auto"/>
          <w:sz w:val="24"/>
          <w:szCs w:val="24"/>
          <w:shd w:val="clear" w:color="auto" w:fill="FFFFFF"/>
        </w:rPr>
        <w:t>:</w:t>
      </w:r>
      <w:r w:rsidR="002A0032" w:rsidRPr="00A02C0D">
        <w:rPr>
          <w:rFonts w:ascii="Times New Roman" w:hAnsi="Times New Roman" w:cs="Times New Roman"/>
          <w:color w:val="auto"/>
          <w:sz w:val="24"/>
          <w:szCs w:val="24"/>
          <w:shd w:val="clear" w:color="auto" w:fill="FFFFFF"/>
        </w:rPr>
        <w:t xml:space="preserve"> A </w:t>
      </w:r>
      <w:r w:rsidRPr="00A02C0D">
        <w:rPr>
          <w:rFonts w:ascii="Times New Roman" w:hAnsi="Times New Roman" w:cs="Times New Roman"/>
          <w:color w:val="auto"/>
          <w:sz w:val="24"/>
          <w:szCs w:val="24"/>
          <w:shd w:val="clear" w:color="auto" w:fill="FFFFFF"/>
        </w:rPr>
        <w:t>strengths-based a</w:t>
      </w:r>
      <w:r w:rsidR="002A0032" w:rsidRPr="00A02C0D">
        <w:rPr>
          <w:rFonts w:ascii="Times New Roman" w:hAnsi="Times New Roman" w:cs="Times New Roman"/>
          <w:color w:val="auto"/>
          <w:sz w:val="24"/>
          <w:szCs w:val="24"/>
          <w:shd w:val="clear" w:color="auto" w:fill="FFFFFF"/>
        </w:rPr>
        <w:t>pproach.</w:t>
      </w:r>
      <w:r w:rsidR="002A0032" w:rsidRPr="00A02C0D">
        <w:rPr>
          <w:rStyle w:val="apple-converted-space"/>
          <w:rFonts w:ascii="Times New Roman" w:hAnsi="Times New Roman" w:cs="Times New Roman"/>
          <w:color w:val="auto"/>
          <w:sz w:val="24"/>
          <w:szCs w:val="24"/>
          <w:shd w:val="clear" w:color="auto" w:fill="FFFFFF"/>
        </w:rPr>
        <w:t> </w:t>
      </w:r>
      <w:r w:rsidR="002A0032" w:rsidRPr="00A02C0D">
        <w:rPr>
          <w:rFonts w:ascii="Times New Roman" w:hAnsi="Times New Roman" w:cs="Times New Roman"/>
          <w:i/>
          <w:iCs/>
          <w:color w:val="auto"/>
          <w:sz w:val="24"/>
          <w:szCs w:val="24"/>
          <w:shd w:val="clear" w:color="auto" w:fill="FFFFFF"/>
        </w:rPr>
        <w:t>American Psychologist</w:t>
      </w:r>
      <w:r w:rsidR="002A0032" w:rsidRPr="00A02C0D">
        <w:rPr>
          <w:rFonts w:ascii="Times New Roman" w:hAnsi="Times New Roman" w:cs="Times New Roman"/>
          <w:color w:val="auto"/>
          <w:sz w:val="24"/>
          <w:szCs w:val="24"/>
          <w:shd w:val="clear" w:color="auto" w:fill="FFFFFF"/>
        </w:rPr>
        <w:t>,</w:t>
      </w:r>
      <w:r w:rsidR="002A0032" w:rsidRPr="00A02C0D">
        <w:rPr>
          <w:rStyle w:val="apple-converted-space"/>
          <w:rFonts w:ascii="Times New Roman" w:hAnsi="Times New Roman" w:cs="Times New Roman"/>
          <w:color w:val="auto"/>
          <w:sz w:val="24"/>
          <w:szCs w:val="24"/>
          <w:shd w:val="clear" w:color="auto" w:fill="FFFFFF"/>
        </w:rPr>
        <w:t> </w:t>
      </w:r>
      <w:r w:rsidR="002A0032" w:rsidRPr="00A02C0D">
        <w:rPr>
          <w:rFonts w:ascii="Times New Roman" w:hAnsi="Times New Roman" w:cs="Times New Roman"/>
          <w:i/>
          <w:iCs/>
          <w:color w:val="auto"/>
          <w:sz w:val="24"/>
          <w:szCs w:val="24"/>
          <w:shd w:val="clear" w:color="auto" w:fill="FFFFFF"/>
        </w:rPr>
        <w:t>59</w:t>
      </w:r>
      <w:r w:rsidR="002A0032" w:rsidRPr="00A02C0D">
        <w:rPr>
          <w:rFonts w:ascii="Times New Roman" w:hAnsi="Times New Roman" w:cs="Times New Roman"/>
          <w:color w:val="auto"/>
          <w:sz w:val="24"/>
          <w:szCs w:val="24"/>
          <w:shd w:val="clear" w:color="auto" w:fill="FFFFFF"/>
        </w:rPr>
        <w:t>(6), 547.</w:t>
      </w:r>
    </w:p>
    <w:p w14:paraId="2B7B392E" w14:textId="77777777" w:rsidR="00A02C0D" w:rsidRPr="00A02C0D" w:rsidRDefault="00A02C0D" w:rsidP="00104830">
      <w:pPr>
        <w:pStyle w:val="Normal1"/>
        <w:spacing w:after="0" w:line="480" w:lineRule="auto"/>
        <w:contextualSpacing/>
        <w:rPr>
          <w:rFonts w:ascii="Times New Roman" w:eastAsia="Times New Roman" w:hAnsi="Times New Roman" w:cs="Times New Roman"/>
          <w:color w:val="auto"/>
          <w:sz w:val="24"/>
          <w:szCs w:val="24"/>
        </w:rPr>
      </w:pPr>
      <w:r w:rsidRPr="00A02C0D">
        <w:rPr>
          <w:rFonts w:ascii="Times New Roman" w:eastAsia="Times New Roman" w:hAnsi="Times New Roman" w:cs="Times New Roman"/>
          <w:color w:val="auto"/>
          <w:sz w:val="24"/>
          <w:szCs w:val="24"/>
        </w:rPr>
        <w:t xml:space="preserve">Nam, S., </w:t>
      </w:r>
      <w:proofErr w:type="spellStart"/>
      <w:r w:rsidRPr="00A02C0D">
        <w:rPr>
          <w:rFonts w:ascii="Times New Roman" w:eastAsia="Times New Roman" w:hAnsi="Times New Roman" w:cs="Times New Roman"/>
          <w:color w:val="auto"/>
          <w:sz w:val="24"/>
          <w:szCs w:val="24"/>
        </w:rPr>
        <w:t>Lonn</w:t>
      </w:r>
      <w:proofErr w:type="spellEnd"/>
      <w:r w:rsidRPr="00A02C0D">
        <w:rPr>
          <w:rFonts w:ascii="Times New Roman" w:eastAsia="Times New Roman" w:hAnsi="Times New Roman" w:cs="Times New Roman"/>
          <w:color w:val="auto"/>
          <w:sz w:val="24"/>
          <w:szCs w:val="24"/>
        </w:rPr>
        <w:t xml:space="preserve">, S., Brown, T., Davis, C. S., &amp; Koch, D. (2014). Customized course </w:t>
      </w:r>
    </w:p>
    <w:p w14:paraId="314D647E" w14:textId="77777777" w:rsidR="00B134FB" w:rsidRPr="00A02C0D" w:rsidRDefault="00A02C0D" w:rsidP="00104830">
      <w:pPr>
        <w:pStyle w:val="Normal1"/>
        <w:spacing w:after="0" w:line="480" w:lineRule="auto"/>
        <w:ind w:left="720"/>
        <w:contextualSpacing/>
        <w:rPr>
          <w:rFonts w:ascii="Times New Roman" w:eastAsia="Times New Roman" w:hAnsi="Times New Roman" w:cs="Times New Roman"/>
          <w:color w:val="auto"/>
          <w:sz w:val="24"/>
          <w:szCs w:val="24"/>
        </w:rPr>
      </w:pPr>
      <w:proofErr w:type="gramStart"/>
      <w:r w:rsidRPr="00A02C0D">
        <w:rPr>
          <w:rFonts w:ascii="Times New Roman" w:eastAsia="Times New Roman" w:hAnsi="Times New Roman" w:cs="Times New Roman"/>
          <w:color w:val="auto"/>
          <w:sz w:val="24"/>
          <w:szCs w:val="24"/>
        </w:rPr>
        <w:lastRenderedPageBreak/>
        <w:t>advising</w:t>
      </w:r>
      <w:proofErr w:type="gramEnd"/>
      <w:r w:rsidRPr="00A02C0D">
        <w:rPr>
          <w:rFonts w:ascii="Times New Roman" w:eastAsia="Times New Roman" w:hAnsi="Times New Roman" w:cs="Times New Roman"/>
          <w:color w:val="auto"/>
          <w:sz w:val="24"/>
          <w:szCs w:val="24"/>
        </w:rPr>
        <w:t xml:space="preserve">: investigating engineering student success with incoming profiles and patterns of concurrent course enrollment. In </w:t>
      </w:r>
      <w:r w:rsidRPr="00A02C0D">
        <w:rPr>
          <w:rFonts w:ascii="Times New Roman" w:eastAsia="Times New Roman" w:hAnsi="Times New Roman" w:cs="Times New Roman"/>
          <w:i/>
          <w:iCs/>
          <w:color w:val="auto"/>
          <w:sz w:val="24"/>
          <w:szCs w:val="24"/>
        </w:rPr>
        <w:t>Proceedings of the Fourth International Conference on Learning Analytics and Knowledge</w:t>
      </w:r>
      <w:r w:rsidRPr="00A02C0D">
        <w:rPr>
          <w:rFonts w:ascii="Times New Roman" w:eastAsia="Times New Roman" w:hAnsi="Times New Roman" w:cs="Times New Roman"/>
          <w:color w:val="auto"/>
          <w:sz w:val="24"/>
          <w:szCs w:val="24"/>
        </w:rPr>
        <w:t xml:space="preserve"> (pp. 16-25). </w:t>
      </w:r>
    </w:p>
    <w:p w14:paraId="0114F3E5" w14:textId="77777777" w:rsidR="003A7A36" w:rsidRPr="003A7A36" w:rsidRDefault="003A7A36" w:rsidP="00104830">
      <w:pPr>
        <w:widowControl w:val="0"/>
        <w:spacing w:after="0" w:line="480" w:lineRule="auto"/>
        <w:ind w:left="720" w:hanging="720"/>
        <w:rPr>
          <w:rFonts w:ascii="Times New Roman" w:hAnsi="Times New Roman"/>
          <w:bCs/>
          <w:sz w:val="24"/>
          <w:szCs w:val="24"/>
          <w:lang w:eastAsia="zh-CN"/>
        </w:rPr>
      </w:pPr>
      <w:r w:rsidRPr="00103C39">
        <w:rPr>
          <w:rFonts w:ascii="Times New Roman" w:hAnsi="Times New Roman"/>
          <w:bCs/>
          <w:sz w:val="24"/>
          <w:szCs w:val="24"/>
          <w:lang w:eastAsia="zh-CN"/>
        </w:rPr>
        <w:t xml:space="preserve">National Science Board. (2015). </w:t>
      </w:r>
      <w:proofErr w:type="gramStart"/>
      <w:r w:rsidRPr="00103C39">
        <w:rPr>
          <w:rFonts w:ascii="Times New Roman" w:hAnsi="Times New Roman"/>
          <w:bCs/>
          <w:i/>
          <w:sz w:val="24"/>
          <w:szCs w:val="24"/>
          <w:lang w:eastAsia="zh-CN"/>
        </w:rPr>
        <w:t>Revisiting</w:t>
      </w:r>
      <w:proofErr w:type="gramEnd"/>
      <w:r w:rsidRPr="00103C39">
        <w:rPr>
          <w:rFonts w:ascii="Times New Roman" w:hAnsi="Times New Roman"/>
          <w:bCs/>
          <w:i/>
          <w:sz w:val="24"/>
          <w:szCs w:val="24"/>
          <w:lang w:eastAsia="zh-CN"/>
        </w:rPr>
        <w:t xml:space="preserve"> the STEM workforce: A companion to Science and Engineering Indicators 2014 (NSB-2015-10)</w:t>
      </w:r>
      <w:r w:rsidRPr="00103C39">
        <w:rPr>
          <w:rFonts w:ascii="Times New Roman" w:hAnsi="Times New Roman"/>
          <w:bCs/>
          <w:sz w:val="24"/>
          <w:szCs w:val="24"/>
          <w:lang w:eastAsia="zh-CN"/>
        </w:rPr>
        <w:t>. Arlington, VA: National Science Foundation.</w:t>
      </w:r>
    </w:p>
    <w:p w14:paraId="1BDD3B8F" w14:textId="77777777" w:rsidR="00B134FB" w:rsidRPr="003A7A36" w:rsidRDefault="00B134FB" w:rsidP="00104830">
      <w:pPr>
        <w:widowControl w:val="0"/>
        <w:spacing w:after="0" w:line="480" w:lineRule="auto"/>
        <w:ind w:left="720" w:hanging="720"/>
        <w:rPr>
          <w:rFonts w:ascii="Times New Roman" w:hAnsi="Times New Roman"/>
          <w:sz w:val="24"/>
          <w:szCs w:val="24"/>
          <w:lang w:eastAsia="zh-CN"/>
        </w:rPr>
      </w:pPr>
      <w:r w:rsidRPr="00103C39">
        <w:rPr>
          <w:rFonts w:ascii="Times New Roman" w:hAnsi="Times New Roman"/>
          <w:sz w:val="24"/>
          <w:szCs w:val="24"/>
          <w:lang w:eastAsia="zh-CN"/>
        </w:rPr>
        <w:t xml:space="preserve">Palmer, R. T., &amp; Wood, J. L. (Eds.). (2013). </w:t>
      </w:r>
      <w:r w:rsidRPr="00103C39">
        <w:rPr>
          <w:rFonts w:ascii="Times New Roman" w:hAnsi="Times New Roman"/>
          <w:i/>
          <w:sz w:val="24"/>
          <w:szCs w:val="24"/>
          <w:lang w:eastAsia="zh-CN"/>
        </w:rPr>
        <w:t>Community colleges and STEM: Examining underrepresented racial and ethnic minorities</w:t>
      </w:r>
      <w:r w:rsidRPr="00103C39">
        <w:rPr>
          <w:rFonts w:ascii="Times New Roman" w:hAnsi="Times New Roman"/>
          <w:sz w:val="24"/>
          <w:szCs w:val="24"/>
          <w:lang w:eastAsia="zh-CN"/>
        </w:rPr>
        <w:t xml:space="preserve">. New York, NY: Routledge. </w:t>
      </w:r>
    </w:p>
    <w:p w14:paraId="1142AC9A" w14:textId="77777777" w:rsidR="003A7A36" w:rsidRDefault="003A7A36" w:rsidP="00104830">
      <w:pPr>
        <w:widowControl w:val="0"/>
        <w:spacing w:after="0" w:line="480" w:lineRule="auto"/>
        <w:ind w:left="720" w:hanging="720"/>
        <w:rPr>
          <w:rFonts w:ascii="Times New Roman" w:hAnsi="Times New Roman"/>
          <w:bCs/>
          <w:sz w:val="24"/>
          <w:szCs w:val="24"/>
          <w:lang w:eastAsia="zh-CN"/>
        </w:rPr>
      </w:pPr>
      <w:proofErr w:type="spellStart"/>
      <w:r w:rsidRPr="003A7A36">
        <w:rPr>
          <w:rFonts w:ascii="Times New Roman" w:hAnsi="Times New Roman"/>
          <w:bCs/>
          <w:sz w:val="24"/>
          <w:szCs w:val="24"/>
          <w:lang w:eastAsia="zh-CN"/>
        </w:rPr>
        <w:t>Pejcinovic</w:t>
      </w:r>
      <w:proofErr w:type="spellEnd"/>
      <w:r w:rsidRPr="003A7A36">
        <w:rPr>
          <w:rFonts w:ascii="Times New Roman" w:hAnsi="Times New Roman"/>
          <w:bCs/>
          <w:sz w:val="24"/>
          <w:szCs w:val="24"/>
          <w:lang w:eastAsia="zh-CN"/>
        </w:rPr>
        <w:t>, B., Duncan, D., Wong, P. K., Fau</w:t>
      </w:r>
      <w:r>
        <w:rPr>
          <w:rFonts w:ascii="Times New Roman" w:hAnsi="Times New Roman"/>
          <w:bCs/>
          <w:sz w:val="24"/>
          <w:szCs w:val="24"/>
          <w:lang w:eastAsia="zh-CN"/>
        </w:rPr>
        <w:t xml:space="preserve">st, M., &amp; </w:t>
      </w:r>
      <w:proofErr w:type="spellStart"/>
      <w:r>
        <w:rPr>
          <w:rFonts w:ascii="Times New Roman" w:hAnsi="Times New Roman"/>
          <w:bCs/>
          <w:sz w:val="24"/>
          <w:szCs w:val="24"/>
          <w:lang w:eastAsia="zh-CN"/>
        </w:rPr>
        <w:t>Recktenwald</w:t>
      </w:r>
      <w:proofErr w:type="spellEnd"/>
      <w:r>
        <w:rPr>
          <w:rFonts w:ascii="Times New Roman" w:hAnsi="Times New Roman"/>
          <w:bCs/>
          <w:sz w:val="24"/>
          <w:szCs w:val="24"/>
          <w:lang w:eastAsia="zh-CN"/>
        </w:rPr>
        <w:t>, G. (2014</w:t>
      </w:r>
      <w:r w:rsidRPr="003A7A36">
        <w:rPr>
          <w:rFonts w:ascii="Times New Roman" w:hAnsi="Times New Roman"/>
          <w:bCs/>
          <w:sz w:val="24"/>
          <w:szCs w:val="24"/>
          <w:lang w:eastAsia="zh-CN"/>
        </w:rPr>
        <w:t>). Assessment of student preparedness for freshman engineering courses through assessment of math background. In </w:t>
      </w:r>
      <w:r w:rsidRPr="003A7A36">
        <w:rPr>
          <w:rFonts w:ascii="Times New Roman" w:hAnsi="Times New Roman"/>
          <w:bCs/>
          <w:i/>
          <w:iCs/>
          <w:sz w:val="24"/>
          <w:szCs w:val="24"/>
          <w:lang w:eastAsia="zh-CN"/>
        </w:rPr>
        <w:t>2014 IEEE Frontiers in Education Conference (FIE) Proceedings</w:t>
      </w:r>
      <w:r w:rsidRPr="003A7A36">
        <w:rPr>
          <w:rFonts w:ascii="Times New Roman" w:hAnsi="Times New Roman"/>
          <w:bCs/>
          <w:sz w:val="24"/>
          <w:szCs w:val="24"/>
          <w:lang w:eastAsia="zh-CN"/>
        </w:rPr>
        <w:t xml:space="preserve"> (pp. 1-5). </w:t>
      </w:r>
    </w:p>
    <w:p w14:paraId="45E45225" w14:textId="77777777" w:rsidR="003A7A36" w:rsidRDefault="003A7A36" w:rsidP="00104830">
      <w:pPr>
        <w:widowControl w:val="0"/>
        <w:spacing w:after="0" w:line="480" w:lineRule="auto"/>
        <w:ind w:left="720" w:hanging="720"/>
        <w:rPr>
          <w:rFonts w:ascii="Times New Roman" w:hAnsi="Times New Roman"/>
          <w:bCs/>
          <w:sz w:val="24"/>
          <w:szCs w:val="24"/>
          <w:lang w:eastAsia="zh-CN"/>
        </w:rPr>
      </w:pPr>
      <w:r w:rsidRPr="00103C39">
        <w:rPr>
          <w:rFonts w:ascii="Times New Roman" w:hAnsi="Times New Roman"/>
          <w:bCs/>
          <w:sz w:val="24"/>
          <w:szCs w:val="24"/>
          <w:lang w:eastAsia="zh-CN"/>
        </w:rPr>
        <w:t xml:space="preserve">President’s Council of Advisors on Science and Technology. (2012). </w:t>
      </w:r>
      <w:r w:rsidRPr="00103C39">
        <w:rPr>
          <w:rFonts w:ascii="Times New Roman" w:hAnsi="Times New Roman"/>
          <w:bCs/>
          <w:i/>
          <w:sz w:val="24"/>
          <w:szCs w:val="24"/>
          <w:lang w:eastAsia="zh-CN"/>
        </w:rPr>
        <w:t xml:space="preserve">Engaging to Excel: Producing One Million Additional College Graduates with Degrees in Science, Technology, Engineering, and Mathematics. </w:t>
      </w:r>
      <w:r w:rsidRPr="00103C39">
        <w:rPr>
          <w:rFonts w:ascii="Times New Roman" w:hAnsi="Times New Roman"/>
          <w:bCs/>
          <w:sz w:val="24"/>
          <w:szCs w:val="24"/>
          <w:lang w:eastAsia="zh-CN"/>
        </w:rPr>
        <w:t xml:space="preserve">Washington, DC: Executive Office of the President, </w:t>
      </w:r>
      <w:proofErr w:type="gramStart"/>
      <w:r w:rsidRPr="00103C39">
        <w:rPr>
          <w:rFonts w:ascii="Times New Roman" w:hAnsi="Times New Roman"/>
          <w:bCs/>
          <w:sz w:val="24"/>
          <w:szCs w:val="24"/>
          <w:lang w:eastAsia="zh-CN"/>
        </w:rPr>
        <w:t>The</w:t>
      </w:r>
      <w:proofErr w:type="gramEnd"/>
      <w:r w:rsidRPr="00103C39">
        <w:rPr>
          <w:rFonts w:ascii="Times New Roman" w:hAnsi="Times New Roman"/>
          <w:bCs/>
          <w:sz w:val="24"/>
          <w:szCs w:val="24"/>
          <w:lang w:eastAsia="zh-CN"/>
        </w:rPr>
        <w:t xml:space="preserve"> White House. </w:t>
      </w:r>
    </w:p>
    <w:p w14:paraId="63302E7E" w14:textId="77777777" w:rsidR="003A7A36" w:rsidRPr="003A7A36" w:rsidRDefault="003A7A36" w:rsidP="00104830">
      <w:pPr>
        <w:widowControl w:val="0"/>
        <w:spacing w:after="0" w:line="480" w:lineRule="auto"/>
        <w:ind w:left="720" w:hanging="720"/>
        <w:rPr>
          <w:rFonts w:ascii="Times New Roman" w:hAnsi="Times New Roman"/>
          <w:bCs/>
          <w:sz w:val="24"/>
          <w:szCs w:val="24"/>
          <w:lang w:eastAsia="zh-CN"/>
        </w:rPr>
      </w:pPr>
      <w:proofErr w:type="spellStart"/>
      <w:r w:rsidRPr="003A7A36">
        <w:rPr>
          <w:rFonts w:ascii="Times New Roman" w:hAnsi="Times New Roman"/>
          <w:bCs/>
          <w:sz w:val="24"/>
          <w:szCs w:val="24"/>
          <w:lang w:eastAsia="zh-CN"/>
        </w:rPr>
        <w:t>Riegle</w:t>
      </w:r>
      <w:proofErr w:type="spellEnd"/>
      <w:r w:rsidRPr="003A7A36">
        <w:rPr>
          <w:rFonts w:ascii="Times New Roman" w:hAnsi="Times New Roman"/>
          <w:bCs/>
          <w:sz w:val="24"/>
          <w:szCs w:val="24"/>
          <w:lang w:eastAsia="zh-CN"/>
        </w:rPr>
        <w:t>-Crumb, C., &amp; King, B. (2010). Questioning a white male advantage in STEM examining disparities in college major by gender and race/ethnicity.</w:t>
      </w:r>
      <w:r w:rsidRPr="003A7A36">
        <w:rPr>
          <w:rFonts w:ascii="Times New Roman" w:hAnsi="Times New Roman"/>
          <w:bCs/>
          <w:i/>
          <w:sz w:val="24"/>
          <w:szCs w:val="24"/>
          <w:lang w:eastAsia="zh-CN"/>
        </w:rPr>
        <w:t> </w:t>
      </w:r>
      <w:r w:rsidRPr="003A7A36">
        <w:rPr>
          <w:rFonts w:ascii="Times New Roman" w:hAnsi="Times New Roman"/>
          <w:bCs/>
          <w:i/>
          <w:iCs/>
          <w:sz w:val="24"/>
          <w:szCs w:val="24"/>
          <w:lang w:eastAsia="zh-CN"/>
        </w:rPr>
        <w:t>Educational Researcher</w:t>
      </w:r>
      <w:r w:rsidRPr="003A7A36">
        <w:rPr>
          <w:rFonts w:ascii="Times New Roman" w:hAnsi="Times New Roman"/>
          <w:bCs/>
          <w:i/>
          <w:sz w:val="24"/>
          <w:szCs w:val="24"/>
          <w:lang w:eastAsia="zh-CN"/>
        </w:rPr>
        <w:t>, </w:t>
      </w:r>
      <w:r w:rsidRPr="003A7A36">
        <w:rPr>
          <w:rFonts w:ascii="Times New Roman" w:hAnsi="Times New Roman"/>
          <w:bCs/>
          <w:i/>
          <w:iCs/>
          <w:sz w:val="24"/>
          <w:szCs w:val="24"/>
          <w:lang w:eastAsia="zh-CN"/>
        </w:rPr>
        <w:t>39</w:t>
      </w:r>
      <w:r w:rsidRPr="003A7A36">
        <w:rPr>
          <w:rFonts w:ascii="Times New Roman" w:hAnsi="Times New Roman"/>
          <w:bCs/>
          <w:sz w:val="24"/>
          <w:szCs w:val="24"/>
          <w:lang w:eastAsia="zh-CN"/>
        </w:rPr>
        <w:t>(9), 656-664.</w:t>
      </w:r>
    </w:p>
    <w:p w14:paraId="4A748039" w14:textId="77777777" w:rsidR="00A02C0D" w:rsidRPr="00A02C0D" w:rsidRDefault="00250E6C" w:rsidP="00104830">
      <w:pPr>
        <w:pStyle w:val="Normal1"/>
        <w:spacing w:after="0" w:line="480" w:lineRule="auto"/>
        <w:contextualSpacing/>
        <w:rPr>
          <w:rFonts w:ascii="Times New Roman" w:eastAsia="Times New Roman" w:hAnsi="Times New Roman" w:cs="Times New Roman"/>
          <w:color w:val="auto"/>
          <w:sz w:val="24"/>
          <w:szCs w:val="24"/>
        </w:rPr>
      </w:pPr>
      <w:r w:rsidRPr="00A02C0D">
        <w:rPr>
          <w:rFonts w:ascii="Times New Roman" w:eastAsia="Times New Roman" w:hAnsi="Times New Roman" w:cs="Times New Roman"/>
          <w:color w:val="auto"/>
          <w:sz w:val="24"/>
          <w:szCs w:val="24"/>
        </w:rPr>
        <w:t xml:space="preserve">Shapiro, D., </w:t>
      </w:r>
      <w:proofErr w:type="spellStart"/>
      <w:r w:rsidRPr="00A02C0D">
        <w:rPr>
          <w:rFonts w:ascii="Times New Roman" w:eastAsia="Times New Roman" w:hAnsi="Times New Roman" w:cs="Times New Roman"/>
          <w:color w:val="auto"/>
          <w:sz w:val="24"/>
          <w:szCs w:val="24"/>
        </w:rPr>
        <w:t>Dundar</w:t>
      </w:r>
      <w:proofErr w:type="spellEnd"/>
      <w:r w:rsidRPr="00A02C0D">
        <w:rPr>
          <w:rFonts w:ascii="Times New Roman" w:eastAsia="Times New Roman" w:hAnsi="Times New Roman" w:cs="Times New Roman"/>
          <w:color w:val="auto"/>
          <w:sz w:val="24"/>
          <w:szCs w:val="24"/>
        </w:rPr>
        <w:t xml:space="preserve">, A., </w:t>
      </w:r>
      <w:proofErr w:type="spellStart"/>
      <w:r w:rsidRPr="00A02C0D">
        <w:rPr>
          <w:rFonts w:ascii="Times New Roman" w:eastAsia="Times New Roman" w:hAnsi="Times New Roman" w:cs="Times New Roman"/>
          <w:color w:val="auto"/>
          <w:sz w:val="24"/>
          <w:szCs w:val="24"/>
        </w:rPr>
        <w:t>Wakhungu</w:t>
      </w:r>
      <w:proofErr w:type="spellEnd"/>
      <w:r w:rsidRPr="00A02C0D">
        <w:rPr>
          <w:rFonts w:ascii="Times New Roman" w:eastAsia="Times New Roman" w:hAnsi="Times New Roman" w:cs="Times New Roman"/>
          <w:color w:val="auto"/>
          <w:sz w:val="24"/>
          <w:szCs w:val="24"/>
        </w:rPr>
        <w:t xml:space="preserve">, P. K., Yuan, X., Nathan, A., &amp; Hwang, Y. (2015). </w:t>
      </w:r>
    </w:p>
    <w:p w14:paraId="7267EC7C" w14:textId="77777777" w:rsidR="00724526" w:rsidRDefault="00250E6C" w:rsidP="00104830">
      <w:pPr>
        <w:pStyle w:val="Normal1"/>
        <w:spacing w:after="0" w:line="480" w:lineRule="auto"/>
        <w:ind w:left="720"/>
        <w:contextualSpacing/>
        <w:rPr>
          <w:rFonts w:ascii="Times New Roman" w:eastAsia="Times New Roman" w:hAnsi="Times New Roman" w:cs="Times New Roman"/>
          <w:color w:val="auto"/>
          <w:sz w:val="24"/>
          <w:szCs w:val="24"/>
        </w:rPr>
      </w:pPr>
      <w:r w:rsidRPr="00A02C0D">
        <w:rPr>
          <w:rFonts w:ascii="Times New Roman" w:eastAsia="Times New Roman" w:hAnsi="Times New Roman" w:cs="Times New Roman"/>
          <w:color w:val="auto"/>
          <w:sz w:val="24"/>
          <w:szCs w:val="24"/>
        </w:rPr>
        <w:t>Completing college: A national view of student attainment rates-Fall 2007 cohort. </w:t>
      </w:r>
      <w:r w:rsidRPr="00A02C0D">
        <w:rPr>
          <w:rFonts w:ascii="Times New Roman" w:eastAsia="Times New Roman" w:hAnsi="Times New Roman" w:cs="Times New Roman"/>
          <w:i/>
          <w:iCs/>
          <w:color w:val="auto"/>
          <w:sz w:val="24"/>
          <w:szCs w:val="24"/>
        </w:rPr>
        <w:t>Signature Report</w:t>
      </w:r>
      <w:r w:rsidRPr="00A02C0D">
        <w:rPr>
          <w:rFonts w:ascii="Times New Roman" w:eastAsia="Times New Roman" w:hAnsi="Times New Roman" w:cs="Times New Roman"/>
          <w:color w:val="auto"/>
          <w:sz w:val="24"/>
          <w:szCs w:val="24"/>
        </w:rPr>
        <w:t>, (10).</w:t>
      </w:r>
    </w:p>
    <w:p w14:paraId="17E852D3" w14:textId="77777777" w:rsidR="003A7A36" w:rsidRPr="00A02C0D" w:rsidRDefault="003A7A36" w:rsidP="00104830">
      <w:pPr>
        <w:pStyle w:val="Normal1"/>
        <w:spacing w:after="0" w:line="480" w:lineRule="auto"/>
        <w:contextualSpacing/>
        <w:rPr>
          <w:rFonts w:ascii="Times New Roman" w:eastAsia="Times New Roman" w:hAnsi="Times New Roman" w:cs="Times New Roman"/>
          <w:color w:val="auto"/>
          <w:sz w:val="24"/>
          <w:szCs w:val="24"/>
        </w:rPr>
      </w:pPr>
    </w:p>
    <w:p w14:paraId="46BE3335" w14:textId="77777777" w:rsidR="003A7A36" w:rsidRPr="00103C39" w:rsidRDefault="003A7A36" w:rsidP="00104830">
      <w:pPr>
        <w:widowControl w:val="0"/>
        <w:spacing w:after="0" w:line="480" w:lineRule="auto"/>
        <w:ind w:left="720" w:hanging="720"/>
        <w:rPr>
          <w:rFonts w:ascii="Times New Roman" w:hAnsi="Times New Roman"/>
          <w:sz w:val="24"/>
          <w:szCs w:val="24"/>
          <w:lang w:eastAsia="zh-CN"/>
        </w:rPr>
      </w:pPr>
      <w:proofErr w:type="spellStart"/>
      <w:r w:rsidRPr="00103C39">
        <w:rPr>
          <w:rFonts w:ascii="Times New Roman" w:hAnsi="Times New Roman"/>
          <w:sz w:val="24"/>
          <w:szCs w:val="24"/>
          <w:lang w:eastAsia="zh-CN"/>
        </w:rPr>
        <w:lastRenderedPageBreak/>
        <w:t>Terenzini</w:t>
      </w:r>
      <w:proofErr w:type="spellEnd"/>
      <w:r w:rsidRPr="00103C39">
        <w:rPr>
          <w:rFonts w:ascii="Times New Roman" w:hAnsi="Times New Roman"/>
          <w:sz w:val="24"/>
          <w:szCs w:val="24"/>
          <w:lang w:eastAsia="zh-CN"/>
        </w:rPr>
        <w:t xml:space="preserve">, P. T., </w:t>
      </w:r>
      <w:proofErr w:type="spellStart"/>
      <w:r w:rsidRPr="00103C39">
        <w:rPr>
          <w:rFonts w:ascii="Times New Roman" w:hAnsi="Times New Roman"/>
          <w:sz w:val="24"/>
          <w:szCs w:val="24"/>
          <w:lang w:eastAsia="zh-CN"/>
        </w:rPr>
        <w:t>Lattuca</w:t>
      </w:r>
      <w:proofErr w:type="spellEnd"/>
      <w:r w:rsidRPr="00103C39">
        <w:rPr>
          <w:rFonts w:ascii="Times New Roman" w:hAnsi="Times New Roman"/>
          <w:sz w:val="24"/>
          <w:szCs w:val="24"/>
          <w:lang w:eastAsia="zh-CN"/>
        </w:rPr>
        <w:t xml:space="preserve">, L. R., Ro, H. K, &amp; Knight, D. B. (2014). </w:t>
      </w:r>
      <w:r w:rsidRPr="00103C39">
        <w:rPr>
          <w:rFonts w:ascii="Times New Roman" w:hAnsi="Times New Roman"/>
          <w:i/>
          <w:sz w:val="24"/>
          <w:szCs w:val="24"/>
          <w:lang w:eastAsia="zh-CN"/>
        </w:rPr>
        <w:t>America's Overlooked Engineers: Community Colleges and Diversity in Engineering Education</w:t>
      </w:r>
      <w:r w:rsidRPr="00103C39">
        <w:rPr>
          <w:rFonts w:ascii="Times New Roman" w:hAnsi="Times New Roman"/>
          <w:sz w:val="24"/>
          <w:szCs w:val="24"/>
          <w:lang w:eastAsia="zh-CN"/>
        </w:rPr>
        <w:t>. Ann Arbor, MI: Authors. </w:t>
      </w:r>
    </w:p>
    <w:p w14:paraId="09BF47D5" w14:textId="77777777" w:rsidR="00B134FB" w:rsidRPr="00103C39" w:rsidRDefault="00B134FB" w:rsidP="00104830">
      <w:pPr>
        <w:widowControl w:val="0"/>
        <w:spacing w:after="0" w:line="480" w:lineRule="auto"/>
        <w:ind w:left="720" w:hanging="720"/>
        <w:rPr>
          <w:rFonts w:ascii="Times New Roman" w:hAnsi="Times New Roman"/>
          <w:sz w:val="24"/>
          <w:szCs w:val="24"/>
          <w:lang w:eastAsia="zh-CN"/>
        </w:rPr>
      </w:pPr>
      <w:r w:rsidRPr="00103C39">
        <w:rPr>
          <w:rFonts w:ascii="Times New Roman" w:hAnsi="Times New Roman"/>
          <w:sz w:val="24"/>
          <w:szCs w:val="24"/>
          <w:lang w:eastAsia="zh-CN"/>
        </w:rPr>
        <w:t xml:space="preserve">U.S. Department of Commerce. (2012). </w:t>
      </w:r>
      <w:proofErr w:type="gramStart"/>
      <w:r w:rsidRPr="00103C39">
        <w:rPr>
          <w:rFonts w:ascii="Times New Roman" w:hAnsi="Times New Roman"/>
          <w:sz w:val="24"/>
          <w:szCs w:val="24"/>
          <w:lang w:eastAsia="zh-CN"/>
        </w:rPr>
        <w:t>The</w:t>
      </w:r>
      <w:proofErr w:type="gramEnd"/>
      <w:r w:rsidRPr="00103C39">
        <w:rPr>
          <w:rFonts w:ascii="Times New Roman" w:hAnsi="Times New Roman"/>
          <w:sz w:val="24"/>
          <w:szCs w:val="24"/>
          <w:lang w:eastAsia="zh-CN"/>
        </w:rPr>
        <w:t xml:space="preserve"> competitiveness and innovative capacity of the United States. </w:t>
      </w:r>
      <w:r w:rsidRPr="00103C39">
        <w:rPr>
          <w:rFonts w:ascii="Times New Roman" w:hAnsi="Times New Roman"/>
          <w:i/>
          <w:sz w:val="24"/>
          <w:szCs w:val="24"/>
          <w:lang w:eastAsia="zh-CN"/>
        </w:rPr>
        <w:t>U.S. Department of Commerce</w:t>
      </w:r>
      <w:r w:rsidRPr="006D199F">
        <w:rPr>
          <w:rFonts w:ascii="Times New Roman" w:hAnsi="Times New Roman"/>
          <w:i/>
          <w:sz w:val="24"/>
          <w:szCs w:val="24"/>
          <w:lang w:eastAsia="zh-CN"/>
        </w:rPr>
        <w:t>, (No. 01-13)</w:t>
      </w:r>
      <w:r w:rsidRPr="00480004">
        <w:rPr>
          <w:rFonts w:ascii="Times New Roman" w:hAnsi="Times New Roman"/>
          <w:i/>
          <w:sz w:val="24"/>
          <w:szCs w:val="24"/>
          <w:lang w:eastAsia="zh-CN"/>
        </w:rPr>
        <w:t>.</w:t>
      </w:r>
      <w:r w:rsidRPr="00103C39">
        <w:rPr>
          <w:rFonts w:ascii="Times New Roman" w:hAnsi="Times New Roman"/>
          <w:i/>
          <w:sz w:val="24"/>
          <w:szCs w:val="24"/>
          <w:lang w:eastAsia="zh-CN"/>
        </w:rPr>
        <w:t xml:space="preserve"> </w:t>
      </w:r>
      <w:r w:rsidRPr="00103C39">
        <w:rPr>
          <w:rFonts w:ascii="Times New Roman" w:hAnsi="Times New Roman"/>
          <w:sz w:val="24"/>
          <w:szCs w:val="24"/>
          <w:lang w:eastAsia="zh-CN"/>
        </w:rPr>
        <w:t xml:space="preserve">Washington, DC: Author. </w:t>
      </w:r>
    </w:p>
    <w:p w14:paraId="0A33661D" w14:textId="77777777" w:rsidR="00B134FB" w:rsidRPr="00103C39" w:rsidRDefault="00B134FB" w:rsidP="00104830">
      <w:pPr>
        <w:widowControl w:val="0"/>
        <w:spacing w:after="0" w:line="480" w:lineRule="auto"/>
        <w:ind w:left="720" w:hanging="720"/>
        <w:rPr>
          <w:rFonts w:ascii="Times New Roman" w:hAnsi="Times New Roman"/>
          <w:sz w:val="24"/>
          <w:szCs w:val="24"/>
          <w:lang w:eastAsia="zh-CN"/>
        </w:rPr>
      </w:pPr>
      <w:r w:rsidRPr="00103C39">
        <w:rPr>
          <w:rFonts w:ascii="Times New Roman" w:hAnsi="Times New Roman"/>
          <w:sz w:val="24"/>
          <w:szCs w:val="24"/>
          <w:lang w:eastAsia="zh-CN"/>
        </w:rPr>
        <w:t>Wang, X. (2015). Pathway to a baccalaureate in STEM fields: Are community colleges a viable route and does early STEM momentum matter? </w:t>
      </w:r>
      <w:r w:rsidRPr="00103C39">
        <w:rPr>
          <w:rFonts w:ascii="Times New Roman" w:hAnsi="Times New Roman"/>
          <w:i/>
          <w:iCs/>
          <w:sz w:val="24"/>
          <w:szCs w:val="24"/>
          <w:lang w:eastAsia="zh-CN"/>
        </w:rPr>
        <w:t>Educational Evaluation and Policy Analysis</w:t>
      </w:r>
      <w:r w:rsidRPr="00103C39">
        <w:rPr>
          <w:rFonts w:ascii="Times New Roman" w:hAnsi="Times New Roman"/>
          <w:iCs/>
          <w:sz w:val="24"/>
          <w:szCs w:val="24"/>
          <w:lang w:eastAsia="zh-CN"/>
        </w:rPr>
        <w:t xml:space="preserve">, </w:t>
      </w:r>
      <w:r w:rsidRPr="00103C39">
        <w:rPr>
          <w:rFonts w:ascii="Times New Roman" w:hAnsi="Times New Roman"/>
          <w:i/>
          <w:iCs/>
          <w:sz w:val="24"/>
          <w:szCs w:val="24"/>
          <w:lang w:eastAsia="zh-CN"/>
        </w:rPr>
        <w:t>37</w:t>
      </w:r>
      <w:r w:rsidRPr="00103C39">
        <w:rPr>
          <w:rFonts w:ascii="Times New Roman" w:hAnsi="Times New Roman"/>
          <w:iCs/>
          <w:sz w:val="24"/>
          <w:szCs w:val="24"/>
          <w:lang w:eastAsia="zh-CN"/>
        </w:rPr>
        <w:t>, 376-393</w:t>
      </w:r>
      <w:r w:rsidRPr="00103C39">
        <w:rPr>
          <w:rFonts w:ascii="Times New Roman" w:hAnsi="Times New Roman"/>
          <w:sz w:val="24"/>
          <w:szCs w:val="24"/>
          <w:lang w:eastAsia="zh-CN"/>
        </w:rPr>
        <w:t>.</w:t>
      </w:r>
    </w:p>
    <w:p w14:paraId="70E10EB2" w14:textId="77777777" w:rsidR="00724526" w:rsidRDefault="00724526">
      <w:pPr>
        <w:pStyle w:val="Normal1"/>
        <w:spacing w:after="0"/>
        <w:contextualSpacing/>
        <w:rPr>
          <w:rFonts w:ascii="Times New Roman" w:eastAsia="Times New Roman" w:hAnsi="Times New Roman" w:cs="Times New Roman"/>
          <w:color w:val="auto"/>
          <w:sz w:val="24"/>
          <w:szCs w:val="24"/>
        </w:rPr>
      </w:pPr>
    </w:p>
    <w:p w14:paraId="04FDAA4B" w14:textId="77777777" w:rsidR="00724526" w:rsidRDefault="00724526">
      <w:pPr>
        <w:pStyle w:val="Normal1"/>
        <w:spacing w:after="0"/>
        <w:contextualSpacing/>
        <w:rPr>
          <w:rFonts w:ascii="Times New Roman" w:eastAsia="Times New Roman" w:hAnsi="Times New Roman" w:cs="Times New Roman"/>
          <w:color w:val="auto"/>
          <w:sz w:val="24"/>
          <w:szCs w:val="24"/>
        </w:rPr>
      </w:pPr>
    </w:p>
    <w:p w14:paraId="127ABAD1" w14:textId="77777777" w:rsidR="00A02C0D" w:rsidRDefault="00A02C0D">
      <w:pPr>
        <w:pStyle w:val="Normal1"/>
        <w:spacing w:after="0"/>
        <w:contextualSpacing/>
        <w:rPr>
          <w:rFonts w:ascii="Times New Roman" w:eastAsia="Times New Roman" w:hAnsi="Times New Roman" w:cs="Times New Roman"/>
          <w:color w:val="auto"/>
          <w:sz w:val="24"/>
          <w:szCs w:val="24"/>
        </w:rPr>
      </w:pPr>
    </w:p>
    <w:p w14:paraId="095DA6EA" w14:textId="77777777" w:rsidR="00A02C0D" w:rsidRDefault="00A02C0D">
      <w:pPr>
        <w:pStyle w:val="Normal1"/>
        <w:spacing w:after="0"/>
        <w:contextualSpacing/>
        <w:rPr>
          <w:rFonts w:ascii="Times New Roman" w:eastAsia="Times New Roman" w:hAnsi="Times New Roman" w:cs="Times New Roman"/>
          <w:color w:val="auto"/>
          <w:sz w:val="24"/>
          <w:szCs w:val="24"/>
        </w:rPr>
      </w:pPr>
    </w:p>
    <w:p w14:paraId="68D92151" w14:textId="77777777" w:rsidR="00724526" w:rsidRDefault="00724526">
      <w:pPr>
        <w:pStyle w:val="Normal1"/>
        <w:spacing w:after="0"/>
        <w:contextualSpacing/>
        <w:rPr>
          <w:rFonts w:ascii="Times New Roman" w:eastAsia="Times New Roman" w:hAnsi="Times New Roman" w:cs="Times New Roman"/>
          <w:color w:val="auto"/>
          <w:sz w:val="24"/>
          <w:szCs w:val="24"/>
        </w:rPr>
      </w:pPr>
    </w:p>
    <w:p w14:paraId="6CE0171C" w14:textId="77777777" w:rsidR="00724526" w:rsidRDefault="00724526">
      <w:pPr>
        <w:pStyle w:val="Normal1"/>
        <w:spacing w:after="0"/>
        <w:contextualSpacing/>
        <w:rPr>
          <w:rFonts w:ascii="Times New Roman" w:eastAsia="Times New Roman" w:hAnsi="Times New Roman" w:cs="Times New Roman"/>
          <w:color w:val="auto"/>
          <w:sz w:val="24"/>
          <w:szCs w:val="24"/>
        </w:rPr>
      </w:pPr>
    </w:p>
    <w:p w14:paraId="6BE38295" w14:textId="77777777" w:rsidR="00724526" w:rsidRDefault="00724526">
      <w:pPr>
        <w:pStyle w:val="Normal1"/>
        <w:spacing w:after="0"/>
        <w:contextualSpacing/>
        <w:rPr>
          <w:rFonts w:ascii="Times New Roman" w:eastAsia="Times New Roman" w:hAnsi="Times New Roman" w:cs="Times New Roman"/>
          <w:color w:val="auto"/>
          <w:sz w:val="24"/>
          <w:szCs w:val="24"/>
        </w:rPr>
      </w:pPr>
    </w:p>
    <w:p w14:paraId="1215803F" w14:textId="77777777" w:rsidR="00724526" w:rsidRDefault="00724526">
      <w:pPr>
        <w:pStyle w:val="Normal1"/>
        <w:spacing w:after="0"/>
        <w:contextualSpacing/>
        <w:rPr>
          <w:rFonts w:ascii="Times New Roman" w:eastAsia="Times New Roman" w:hAnsi="Times New Roman" w:cs="Times New Roman"/>
          <w:color w:val="auto"/>
          <w:sz w:val="24"/>
          <w:szCs w:val="24"/>
        </w:rPr>
      </w:pPr>
    </w:p>
    <w:p w14:paraId="5DE5BCF0" w14:textId="77777777" w:rsidR="00724526" w:rsidRDefault="00724526">
      <w:pPr>
        <w:pStyle w:val="Normal1"/>
        <w:spacing w:after="0"/>
        <w:contextualSpacing/>
        <w:rPr>
          <w:rFonts w:ascii="Times New Roman" w:eastAsia="Times New Roman" w:hAnsi="Times New Roman" w:cs="Times New Roman"/>
          <w:color w:val="auto"/>
          <w:sz w:val="24"/>
          <w:szCs w:val="24"/>
        </w:rPr>
      </w:pPr>
    </w:p>
    <w:p w14:paraId="518E2B0A" w14:textId="77777777" w:rsidR="00724526" w:rsidRDefault="00724526">
      <w:pPr>
        <w:pStyle w:val="Normal1"/>
        <w:spacing w:after="0"/>
        <w:contextualSpacing/>
        <w:rPr>
          <w:rFonts w:ascii="Times New Roman" w:eastAsia="Times New Roman" w:hAnsi="Times New Roman" w:cs="Times New Roman"/>
          <w:color w:val="auto"/>
          <w:sz w:val="24"/>
          <w:szCs w:val="24"/>
        </w:rPr>
      </w:pPr>
    </w:p>
    <w:p w14:paraId="5615EF08" w14:textId="77777777" w:rsidR="00724526" w:rsidRDefault="00724526">
      <w:pPr>
        <w:pStyle w:val="Normal1"/>
        <w:spacing w:after="0"/>
        <w:contextualSpacing/>
        <w:rPr>
          <w:rFonts w:ascii="Times New Roman" w:eastAsia="Times New Roman" w:hAnsi="Times New Roman" w:cs="Times New Roman"/>
          <w:color w:val="auto"/>
          <w:sz w:val="24"/>
          <w:szCs w:val="24"/>
        </w:rPr>
      </w:pPr>
    </w:p>
    <w:p w14:paraId="227FDBED" w14:textId="77777777" w:rsidR="00724526" w:rsidRDefault="00724526">
      <w:pPr>
        <w:pStyle w:val="Normal1"/>
        <w:spacing w:after="0"/>
        <w:contextualSpacing/>
        <w:rPr>
          <w:rFonts w:ascii="Times New Roman" w:eastAsia="Times New Roman" w:hAnsi="Times New Roman" w:cs="Times New Roman"/>
          <w:color w:val="auto"/>
          <w:sz w:val="24"/>
          <w:szCs w:val="24"/>
        </w:rPr>
      </w:pPr>
    </w:p>
    <w:p w14:paraId="1E24DAA8" w14:textId="77777777" w:rsidR="00724526" w:rsidRDefault="00724526">
      <w:pPr>
        <w:pStyle w:val="Normal1"/>
        <w:spacing w:after="0"/>
        <w:contextualSpacing/>
        <w:rPr>
          <w:rFonts w:ascii="Times New Roman" w:eastAsia="Times New Roman" w:hAnsi="Times New Roman" w:cs="Times New Roman"/>
          <w:color w:val="auto"/>
          <w:sz w:val="24"/>
          <w:szCs w:val="24"/>
        </w:rPr>
      </w:pPr>
    </w:p>
    <w:p w14:paraId="06E5246B" w14:textId="77777777" w:rsidR="001332D4" w:rsidRPr="002B710B" w:rsidRDefault="001332D4">
      <w:pPr>
        <w:rPr>
          <w:rFonts w:ascii="Times New Roman" w:eastAsia="Arial Unicode MS" w:hAnsi="Times New Roman" w:cs="Times New Roman"/>
          <w:sz w:val="24"/>
          <w:szCs w:val="24"/>
        </w:rPr>
      </w:pPr>
      <w:r w:rsidRPr="002B710B">
        <w:rPr>
          <w:rFonts w:ascii="Times New Roman" w:eastAsia="Arial Unicode MS" w:hAnsi="Times New Roman" w:cs="Times New Roman"/>
          <w:sz w:val="24"/>
          <w:szCs w:val="24"/>
        </w:rPr>
        <w:br w:type="page"/>
      </w:r>
    </w:p>
    <w:p w14:paraId="1FB2D7FE" w14:textId="77777777" w:rsidR="00226BC6" w:rsidRDefault="00226BC6" w:rsidP="00226BC6">
      <w:pPr>
        <w:spacing w:after="0" w:line="240" w:lineRule="auto"/>
        <w:rPr>
          <w:rFonts w:ascii="Times New Roman" w:eastAsia="Arial Unicode MS" w:hAnsi="Times New Roman"/>
          <w:sz w:val="24"/>
          <w:szCs w:val="24"/>
        </w:rPr>
      </w:pPr>
      <w:r w:rsidRPr="00103C39">
        <w:rPr>
          <w:rFonts w:ascii="Times New Roman" w:eastAsia="Arial Unicode MS" w:hAnsi="Times New Roman"/>
          <w:sz w:val="24"/>
          <w:szCs w:val="24"/>
        </w:rPr>
        <w:lastRenderedPageBreak/>
        <w:t>Table 1:  Frequency distributions of selected characteristics for first-time college students, first-time college students who enrolled in at least one transferrable STEM course,</w:t>
      </w:r>
      <w:r w:rsidRPr="000676A2">
        <w:rPr>
          <w:rFonts w:ascii="Times New Roman" w:eastAsia="Arial Unicode MS" w:hAnsi="Times New Roman"/>
          <w:sz w:val="24"/>
          <w:szCs w:val="24"/>
        </w:rPr>
        <w:t xml:space="preserve"> </w:t>
      </w:r>
      <w:r w:rsidRPr="00103C39">
        <w:rPr>
          <w:rFonts w:ascii="Times New Roman" w:eastAsia="Arial Unicode MS" w:hAnsi="Times New Roman"/>
          <w:sz w:val="24"/>
          <w:szCs w:val="24"/>
        </w:rPr>
        <w:t xml:space="preserve">first-time college students who enrolled </w:t>
      </w:r>
      <w:r>
        <w:rPr>
          <w:rFonts w:ascii="Times New Roman" w:eastAsia="Arial Unicode MS" w:hAnsi="Times New Roman"/>
          <w:sz w:val="24"/>
          <w:szCs w:val="24"/>
        </w:rPr>
        <w:t>in transferable course(s) in only</w:t>
      </w:r>
      <w:r w:rsidRPr="00103C39">
        <w:rPr>
          <w:rFonts w:ascii="Times New Roman" w:eastAsia="Arial Unicode MS" w:hAnsi="Times New Roman"/>
          <w:sz w:val="24"/>
          <w:szCs w:val="24"/>
        </w:rPr>
        <w:t xml:space="preserve"> one STEM </w:t>
      </w:r>
      <w:r>
        <w:rPr>
          <w:rFonts w:ascii="Times New Roman" w:eastAsia="Arial Unicode MS" w:hAnsi="Times New Roman"/>
          <w:sz w:val="24"/>
          <w:szCs w:val="24"/>
        </w:rPr>
        <w:t>discipline,</w:t>
      </w:r>
      <w:r w:rsidRPr="00103C39">
        <w:rPr>
          <w:rFonts w:ascii="Times New Roman" w:eastAsia="Arial Unicode MS" w:hAnsi="Times New Roman"/>
          <w:sz w:val="24"/>
          <w:szCs w:val="24"/>
        </w:rPr>
        <w:t xml:space="preserve"> and first-time college students who enrolled in </w:t>
      </w:r>
      <w:r>
        <w:rPr>
          <w:rFonts w:ascii="Times New Roman" w:eastAsia="Arial Unicode MS" w:hAnsi="Times New Roman"/>
          <w:sz w:val="24"/>
          <w:szCs w:val="24"/>
        </w:rPr>
        <w:t>course(s) in selected disciplinary combinations.</w:t>
      </w:r>
    </w:p>
    <w:p w14:paraId="2B14EAD0" w14:textId="77777777" w:rsidR="00226BC6" w:rsidRPr="00103C39" w:rsidRDefault="00226BC6" w:rsidP="00226BC6">
      <w:pPr>
        <w:spacing w:after="0" w:line="240" w:lineRule="auto"/>
        <w:rPr>
          <w:rFonts w:ascii="Times New Roman" w:eastAsia="Arial Unicode MS" w:hAnsi="Times New Roman"/>
          <w:sz w:val="24"/>
          <w:szCs w:val="24"/>
        </w:rPr>
      </w:pPr>
    </w:p>
    <w:tbl>
      <w:tblPr>
        <w:tblW w:w="9360" w:type="dxa"/>
        <w:tblInd w:w="93" w:type="dxa"/>
        <w:tblLayout w:type="fixed"/>
        <w:tblCellMar>
          <w:left w:w="72" w:type="dxa"/>
          <w:right w:w="72" w:type="dxa"/>
        </w:tblCellMar>
        <w:tblLook w:val="04A0" w:firstRow="1" w:lastRow="0" w:firstColumn="1" w:lastColumn="0" w:noHBand="0" w:noVBand="1"/>
      </w:tblPr>
      <w:tblGrid>
        <w:gridCol w:w="2303"/>
        <w:gridCol w:w="1208"/>
        <w:gridCol w:w="1208"/>
        <w:gridCol w:w="1208"/>
        <w:gridCol w:w="1113"/>
        <w:gridCol w:w="1160"/>
        <w:gridCol w:w="1160"/>
      </w:tblGrid>
      <w:tr w:rsidR="00226BC6" w:rsidRPr="00103C39" w14:paraId="0B0F90D7" w14:textId="77777777" w:rsidTr="007D794A">
        <w:trPr>
          <w:trHeight w:val="211"/>
        </w:trPr>
        <w:tc>
          <w:tcPr>
            <w:tcW w:w="2303" w:type="dxa"/>
            <w:tcBorders>
              <w:top w:val="single" w:sz="4" w:space="0" w:color="auto"/>
              <w:left w:val="nil"/>
              <w:right w:val="nil"/>
            </w:tcBorders>
            <w:vAlign w:val="bottom"/>
            <w:hideMark/>
          </w:tcPr>
          <w:p w14:paraId="5C810899" w14:textId="77777777" w:rsidR="00226BC6" w:rsidRPr="00103C39" w:rsidRDefault="00226BC6" w:rsidP="00226BC6">
            <w:pPr>
              <w:spacing w:after="0" w:line="240" w:lineRule="auto"/>
              <w:jc w:val="center"/>
              <w:rPr>
                <w:rFonts w:ascii="Times New Roman" w:hAnsi="Times New Roman"/>
                <w:bCs/>
                <w:sz w:val="20"/>
                <w:szCs w:val="20"/>
              </w:rPr>
            </w:pPr>
          </w:p>
        </w:tc>
        <w:tc>
          <w:tcPr>
            <w:tcW w:w="1208" w:type="dxa"/>
            <w:tcBorders>
              <w:top w:val="single" w:sz="4" w:space="0" w:color="auto"/>
              <w:left w:val="nil"/>
              <w:bottom w:val="single" w:sz="4" w:space="0" w:color="auto"/>
              <w:right w:val="nil"/>
            </w:tcBorders>
            <w:vAlign w:val="bottom"/>
            <w:hideMark/>
          </w:tcPr>
          <w:p w14:paraId="5D33CA05" w14:textId="77777777" w:rsidR="00226BC6" w:rsidRPr="00103C39" w:rsidRDefault="00226BC6" w:rsidP="00226BC6">
            <w:pPr>
              <w:spacing w:after="0" w:line="240" w:lineRule="auto"/>
              <w:jc w:val="center"/>
              <w:rPr>
                <w:rFonts w:ascii="Times New Roman" w:hAnsi="Times New Roman"/>
                <w:bCs/>
                <w:sz w:val="20"/>
                <w:szCs w:val="20"/>
              </w:rPr>
            </w:pPr>
            <w:r w:rsidRPr="00103C39">
              <w:rPr>
                <w:rFonts w:ascii="Times New Roman" w:hAnsi="Times New Roman"/>
                <w:bCs/>
                <w:sz w:val="20"/>
                <w:szCs w:val="20"/>
              </w:rPr>
              <w:t>All First-Time Students</w:t>
            </w:r>
          </w:p>
        </w:tc>
        <w:tc>
          <w:tcPr>
            <w:tcW w:w="1208" w:type="dxa"/>
            <w:tcBorders>
              <w:top w:val="single" w:sz="4" w:space="0" w:color="auto"/>
              <w:left w:val="nil"/>
              <w:bottom w:val="single" w:sz="4" w:space="0" w:color="auto"/>
              <w:right w:val="nil"/>
            </w:tcBorders>
            <w:vAlign w:val="bottom"/>
            <w:hideMark/>
          </w:tcPr>
          <w:p w14:paraId="26DA05FF" w14:textId="77777777" w:rsidR="00226BC6" w:rsidRDefault="007F4D0D" w:rsidP="00226BC6">
            <w:pPr>
              <w:spacing w:after="0" w:line="240" w:lineRule="auto"/>
              <w:jc w:val="center"/>
              <w:rPr>
                <w:rFonts w:ascii="Times New Roman" w:hAnsi="Times New Roman"/>
                <w:bCs/>
                <w:sz w:val="20"/>
                <w:szCs w:val="20"/>
              </w:rPr>
            </w:pPr>
            <w:r>
              <w:rPr>
                <w:rFonts w:ascii="Times New Roman" w:hAnsi="Times New Roman"/>
                <w:bCs/>
                <w:sz w:val="20"/>
                <w:szCs w:val="20"/>
              </w:rPr>
              <w:t xml:space="preserve">All </w:t>
            </w:r>
            <w:r w:rsidR="00226BC6" w:rsidRPr="00103C39">
              <w:rPr>
                <w:rFonts w:ascii="Times New Roman" w:hAnsi="Times New Roman"/>
                <w:bCs/>
                <w:sz w:val="20"/>
                <w:szCs w:val="20"/>
              </w:rPr>
              <w:t>STEM</w:t>
            </w:r>
          </w:p>
          <w:p w14:paraId="1524DBDC" w14:textId="77777777" w:rsidR="00226BC6" w:rsidRPr="00103C39" w:rsidRDefault="00226BC6" w:rsidP="00226BC6">
            <w:pPr>
              <w:spacing w:after="0" w:line="240" w:lineRule="auto"/>
              <w:jc w:val="center"/>
              <w:rPr>
                <w:rFonts w:ascii="Times New Roman" w:hAnsi="Times New Roman"/>
                <w:bCs/>
                <w:sz w:val="20"/>
                <w:szCs w:val="20"/>
              </w:rPr>
            </w:pPr>
            <w:r>
              <w:rPr>
                <w:rFonts w:ascii="Times New Roman" w:hAnsi="Times New Roman"/>
                <w:bCs/>
                <w:sz w:val="20"/>
                <w:szCs w:val="20"/>
              </w:rPr>
              <w:t>Students</w:t>
            </w:r>
            <w:r w:rsidRPr="00103C39">
              <w:rPr>
                <w:rFonts w:ascii="Times New Roman" w:hAnsi="Times New Roman"/>
                <w:bCs/>
                <w:sz w:val="20"/>
                <w:szCs w:val="20"/>
              </w:rPr>
              <w:t xml:space="preserve"> </w:t>
            </w:r>
          </w:p>
        </w:tc>
        <w:tc>
          <w:tcPr>
            <w:tcW w:w="1208" w:type="dxa"/>
            <w:tcBorders>
              <w:top w:val="single" w:sz="4" w:space="0" w:color="auto"/>
              <w:left w:val="nil"/>
              <w:bottom w:val="single" w:sz="4" w:space="0" w:color="auto"/>
              <w:right w:val="nil"/>
            </w:tcBorders>
            <w:vAlign w:val="bottom"/>
            <w:hideMark/>
          </w:tcPr>
          <w:p w14:paraId="421340B1" w14:textId="77777777" w:rsidR="00226BC6" w:rsidRPr="00103C39" w:rsidRDefault="00226BC6" w:rsidP="00226BC6">
            <w:pPr>
              <w:spacing w:after="0" w:line="240" w:lineRule="auto"/>
              <w:jc w:val="center"/>
              <w:rPr>
                <w:rFonts w:ascii="Times New Roman" w:hAnsi="Times New Roman"/>
                <w:bCs/>
                <w:sz w:val="20"/>
                <w:szCs w:val="20"/>
              </w:rPr>
            </w:pPr>
            <w:r>
              <w:rPr>
                <w:rFonts w:ascii="Times New Roman" w:hAnsi="Times New Roman"/>
                <w:bCs/>
                <w:sz w:val="20"/>
                <w:szCs w:val="20"/>
              </w:rPr>
              <w:t>Only One STEM Discipline</w:t>
            </w:r>
          </w:p>
        </w:tc>
        <w:tc>
          <w:tcPr>
            <w:tcW w:w="1113" w:type="dxa"/>
            <w:tcBorders>
              <w:top w:val="single" w:sz="4" w:space="0" w:color="auto"/>
              <w:left w:val="nil"/>
              <w:bottom w:val="single" w:sz="4" w:space="0" w:color="auto"/>
              <w:right w:val="nil"/>
            </w:tcBorders>
            <w:vAlign w:val="bottom"/>
          </w:tcPr>
          <w:p w14:paraId="77A5A1DC" w14:textId="77777777" w:rsidR="00226BC6" w:rsidRPr="00103C39" w:rsidRDefault="00226BC6" w:rsidP="00226BC6">
            <w:pPr>
              <w:spacing w:after="0" w:line="240" w:lineRule="auto"/>
              <w:jc w:val="center"/>
              <w:rPr>
                <w:rFonts w:ascii="Times New Roman" w:hAnsi="Times New Roman"/>
                <w:bCs/>
                <w:sz w:val="20"/>
                <w:szCs w:val="20"/>
              </w:rPr>
            </w:pPr>
            <w:r>
              <w:rPr>
                <w:rFonts w:ascii="Times New Roman" w:hAnsi="Times New Roman"/>
                <w:bCs/>
                <w:sz w:val="20"/>
                <w:szCs w:val="20"/>
              </w:rPr>
              <w:t>Math and Phys</w:t>
            </w:r>
          </w:p>
        </w:tc>
        <w:tc>
          <w:tcPr>
            <w:tcW w:w="1160" w:type="dxa"/>
            <w:tcBorders>
              <w:top w:val="single" w:sz="4" w:space="0" w:color="auto"/>
              <w:left w:val="nil"/>
              <w:bottom w:val="single" w:sz="4" w:space="0" w:color="auto"/>
              <w:right w:val="nil"/>
            </w:tcBorders>
            <w:vAlign w:val="bottom"/>
          </w:tcPr>
          <w:p w14:paraId="283F73C7" w14:textId="77777777" w:rsidR="00226BC6" w:rsidRPr="00103C39" w:rsidRDefault="00226BC6" w:rsidP="00226BC6">
            <w:pPr>
              <w:spacing w:after="0" w:line="240" w:lineRule="auto"/>
              <w:jc w:val="center"/>
              <w:rPr>
                <w:rFonts w:ascii="Times New Roman" w:hAnsi="Times New Roman"/>
                <w:bCs/>
                <w:sz w:val="20"/>
                <w:szCs w:val="20"/>
              </w:rPr>
            </w:pPr>
            <w:r>
              <w:rPr>
                <w:rFonts w:ascii="Times New Roman" w:hAnsi="Times New Roman"/>
                <w:bCs/>
                <w:sz w:val="20"/>
                <w:szCs w:val="20"/>
              </w:rPr>
              <w:t xml:space="preserve">Bio and </w:t>
            </w:r>
            <w:proofErr w:type="spellStart"/>
            <w:r>
              <w:rPr>
                <w:rFonts w:ascii="Times New Roman" w:hAnsi="Times New Roman"/>
                <w:bCs/>
                <w:sz w:val="20"/>
                <w:szCs w:val="20"/>
              </w:rPr>
              <w:t>Chem</w:t>
            </w:r>
            <w:proofErr w:type="spellEnd"/>
          </w:p>
        </w:tc>
        <w:tc>
          <w:tcPr>
            <w:tcW w:w="1160" w:type="dxa"/>
            <w:tcBorders>
              <w:top w:val="single" w:sz="4" w:space="0" w:color="auto"/>
              <w:left w:val="nil"/>
              <w:bottom w:val="single" w:sz="4" w:space="0" w:color="auto"/>
              <w:right w:val="nil"/>
            </w:tcBorders>
            <w:vAlign w:val="bottom"/>
          </w:tcPr>
          <w:p w14:paraId="254960B4" w14:textId="77777777" w:rsidR="00226BC6" w:rsidRPr="00103C39" w:rsidRDefault="00226BC6" w:rsidP="00226BC6">
            <w:pPr>
              <w:spacing w:after="0" w:line="240" w:lineRule="auto"/>
              <w:jc w:val="center"/>
              <w:rPr>
                <w:rFonts w:ascii="Times New Roman" w:hAnsi="Times New Roman"/>
                <w:bCs/>
                <w:sz w:val="20"/>
                <w:szCs w:val="20"/>
              </w:rPr>
            </w:pPr>
            <w:r>
              <w:rPr>
                <w:rFonts w:ascii="Times New Roman" w:hAnsi="Times New Roman"/>
                <w:bCs/>
                <w:sz w:val="20"/>
                <w:szCs w:val="20"/>
              </w:rPr>
              <w:t xml:space="preserve">Math and Comp </w:t>
            </w:r>
            <w:proofErr w:type="spellStart"/>
            <w:r>
              <w:rPr>
                <w:rFonts w:ascii="Times New Roman" w:hAnsi="Times New Roman"/>
                <w:bCs/>
                <w:sz w:val="20"/>
                <w:szCs w:val="20"/>
              </w:rPr>
              <w:t>Sci</w:t>
            </w:r>
            <w:proofErr w:type="spellEnd"/>
          </w:p>
        </w:tc>
      </w:tr>
      <w:tr w:rsidR="00226BC6" w:rsidRPr="00103C39" w14:paraId="78E3C536" w14:textId="77777777" w:rsidTr="007D794A">
        <w:trPr>
          <w:trHeight w:val="264"/>
        </w:trPr>
        <w:tc>
          <w:tcPr>
            <w:tcW w:w="2303" w:type="dxa"/>
            <w:tcBorders>
              <w:top w:val="nil"/>
              <w:left w:val="nil"/>
              <w:bottom w:val="nil"/>
              <w:right w:val="nil"/>
            </w:tcBorders>
            <w:noWrap/>
            <w:vAlign w:val="bottom"/>
            <w:hideMark/>
          </w:tcPr>
          <w:p w14:paraId="6F344B77" w14:textId="77777777" w:rsidR="00226BC6" w:rsidRPr="001118DB" w:rsidRDefault="00226BC6" w:rsidP="00226BC6">
            <w:pPr>
              <w:spacing w:after="0" w:line="240" w:lineRule="auto"/>
              <w:jc w:val="right"/>
              <w:rPr>
                <w:rFonts w:ascii="Times New Roman" w:hAnsi="Times New Roman"/>
                <w:b/>
                <w:sz w:val="20"/>
                <w:szCs w:val="20"/>
              </w:rPr>
            </w:pPr>
            <w:r>
              <w:rPr>
                <w:rFonts w:ascii="Times New Roman" w:hAnsi="Times New Roman"/>
                <w:b/>
                <w:sz w:val="20"/>
                <w:szCs w:val="20"/>
              </w:rPr>
              <w:t xml:space="preserve">Sex                    </w:t>
            </w:r>
            <w:r w:rsidRPr="001118DB">
              <w:rPr>
                <w:rFonts w:ascii="Times New Roman" w:hAnsi="Times New Roman"/>
                <w:sz w:val="20"/>
                <w:szCs w:val="20"/>
              </w:rPr>
              <w:t>Male</w:t>
            </w:r>
          </w:p>
        </w:tc>
        <w:tc>
          <w:tcPr>
            <w:tcW w:w="1208" w:type="dxa"/>
            <w:tcBorders>
              <w:top w:val="nil"/>
              <w:left w:val="nil"/>
              <w:bottom w:val="nil"/>
              <w:right w:val="nil"/>
            </w:tcBorders>
            <w:noWrap/>
            <w:vAlign w:val="bottom"/>
            <w:hideMark/>
          </w:tcPr>
          <w:p w14:paraId="443FF962" w14:textId="77777777" w:rsidR="00226BC6" w:rsidRPr="00103C39" w:rsidRDefault="00226BC6" w:rsidP="00226BC6">
            <w:pPr>
              <w:tabs>
                <w:tab w:val="decimal" w:pos="360"/>
              </w:tabs>
              <w:spacing w:after="0" w:line="240" w:lineRule="auto"/>
              <w:rPr>
                <w:rFonts w:ascii="Times New Roman" w:hAnsi="Times New Roman"/>
                <w:sz w:val="20"/>
                <w:szCs w:val="20"/>
              </w:rPr>
            </w:pPr>
            <w:r w:rsidRPr="00103C39">
              <w:rPr>
                <w:rFonts w:ascii="Times New Roman" w:hAnsi="Times New Roman"/>
                <w:sz w:val="20"/>
                <w:szCs w:val="20"/>
              </w:rPr>
              <w:t>0.486</w:t>
            </w:r>
          </w:p>
        </w:tc>
        <w:tc>
          <w:tcPr>
            <w:tcW w:w="1208" w:type="dxa"/>
            <w:tcBorders>
              <w:top w:val="single" w:sz="4" w:space="0" w:color="auto"/>
              <w:left w:val="nil"/>
              <w:bottom w:val="nil"/>
              <w:right w:val="nil"/>
            </w:tcBorders>
            <w:noWrap/>
            <w:vAlign w:val="bottom"/>
            <w:hideMark/>
          </w:tcPr>
          <w:p w14:paraId="654F06D5" w14:textId="77777777" w:rsidR="00226BC6" w:rsidRPr="00103C39" w:rsidRDefault="00226BC6" w:rsidP="00226BC6">
            <w:pPr>
              <w:tabs>
                <w:tab w:val="decimal" w:pos="360"/>
              </w:tabs>
              <w:spacing w:after="0" w:line="240" w:lineRule="auto"/>
              <w:rPr>
                <w:rFonts w:ascii="Times New Roman" w:hAnsi="Times New Roman"/>
                <w:sz w:val="20"/>
                <w:szCs w:val="20"/>
              </w:rPr>
            </w:pPr>
            <w:r w:rsidRPr="00103C39">
              <w:rPr>
                <w:rFonts w:ascii="Times New Roman" w:hAnsi="Times New Roman"/>
                <w:sz w:val="20"/>
                <w:szCs w:val="20"/>
              </w:rPr>
              <w:t>0.457</w:t>
            </w:r>
          </w:p>
        </w:tc>
        <w:tc>
          <w:tcPr>
            <w:tcW w:w="1208" w:type="dxa"/>
            <w:tcBorders>
              <w:top w:val="single" w:sz="4" w:space="0" w:color="auto"/>
              <w:left w:val="nil"/>
              <w:bottom w:val="nil"/>
              <w:right w:val="nil"/>
            </w:tcBorders>
            <w:noWrap/>
            <w:vAlign w:val="bottom"/>
            <w:hideMark/>
          </w:tcPr>
          <w:p w14:paraId="23C5F83D" w14:textId="77777777" w:rsidR="00226BC6" w:rsidRPr="00103C39" w:rsidRDefault="00226BC6" w:rsidP="00226BC6">
            <w:pPr>
              <w:tabs>
                <w:tab w:val="decimal" w:pos="288"/>
              </w:tabs>
              <w:spacing w:after="0" w:line="240" w:lineRule="auto"/>
              <w:rPr>
                <w:rFonts w:ascii="Times New Roman" w:hAnsi="Times New Roman"/>
                <w:sz w:val="20"/>
                <w:szCs w:val="20"/>
              </w:rPr>
            </w:pPr>
            <w:r>
              <w:rPr>
                <w:rFonts w:ascii="Times New Roman" w:hAnsi="Times New Roman"/>
                <w:sz w:val="20"/>
                <w:szCs w:val="20"/>
              </w:rPr>
              <w:t>0.468</w:t>
            </w:r>
          </w:p>
        </w:tc>
        <w:tc>
          <w:tcPr>
            <w:tcW w:w="1113" w:type="dxa"/>
            <w:tcBorders>
              <w:top w:val="single" w:sz="4" w:space="0" w:color="auto"/>
              <w:left w:val="nil"/>
              <w:bottom w:val="nil"/>
              <w:right w:val="nil"/>
            </w:tcBorders>
            <w:vAlign w:val="bottom"/>
          </w:tcPr>
          <w:p w14:paraId="7CD11459" w14:textId="77777777" w:rsidR="00226BC6" w:rsidRPr="00103C39" w:rsidRDefault="00226BC6" w:rsidP="00226BC6">
            <w:pPr>
              <w:tabs>
                <w:tab w:val="decimal" w:pos="288"/>
              </w:tabs>
              <w:spacing w:after="0" w:line="240" w:lineRule="auto"/>
              <w:rPr>
                <w:rFonts w:ascii="Times New Roman" w:hAnsi="Times New Roman"/>
                <w:sz w:val="20"/>
                <w:szCs w:val="20"/>
              </w:rPr>
            </w:pPr>
            <w:r>
              <w:rPr>
                <w:rFonts w:ascii="Times New Roman" w:hAnsi="Times New Roman"/>
                <w:sz w:val="20"/>
                <w:szCs w:val="20"/>
              </w:rPr>
              <w:t>0.628</w:t>
            </w:r>
          </w:p>
        </w:tc>
        <w:tc>
          <w:tcPr>
            <w:tcW w:w="1160" w:type="dxa"/>
            <w:tcBorders>
              <w:top w:val="single" w:sz="4" w:space="0" w:color="auto"/>
              <w:left w:val="nil"/>
              <w:bottom w:val="nil"/>
              <w:right w:val="nil"/>
            </w:tcBorders>
            <w:vAlign w:val="bottom"/>
          </w:tcPr>
          <w:p w14:paraId="7C069283" w14:textId="77777777" w:rsidR="00226BC6" w:rsidRPr="00103C39" w:rsidRDefault="00226BC6" w:rsidP="00226BC6">
            <w:pPr>
              <w:tabs>
                <w:tab w:val="decimal" w:pos="288"/>
              </w:tabs>
              <w:spacing w:after="0" w:line="240" w:lineRule="auto"/>
              <w:rPr>
                <w:rFonts w:ascii="Times New Roman" w:hAnsi="Times New Roman"/>
                <w:sz w:val="20"/>
                <w:szCs w:val="20"/>
              </w:rPr>
            </w:pPr>
            <w:r>
              <w:rPr>
                <w:rFonts w:ascii="Times New Roman" w:hAnsi="Times New Roman"/>
                <w:sz w:val="20"/>
                <w:szCs w:val="20"/>
              </w:rPr>
              <w:t>0.358</w:t>
            </w:r>
          </w:p>
        </w:tc>
        <w:tc>
          <w:tcPr>
            <w:tcW w:w="1160" w:type="dxa"/>
            <w:tcBorders>
              <w:top w:val="single" w:sz="4" w:space="0" w:color="auto"/>
              <w:left w:val="nil"/>
              <w:bottom w:val="nil"/>
              <w:right w:val="nil"/>
            </w:tcBorders>
            <w:vAlign w:val="bottom"/>
          </w:tcPr>
          <w:p w14:paraId="232FB948" w14:textId="77777777" w:rsidR="00226BC6" w:rsidRPr="00103C39" w:rsidRDefault="00226BC6" w:rsidP="00226BC6">
            <w:pPr>
              <w:tabs>
                <w:tab w:val="decimal" w:pos="288"/>
              </w:tabs>
              <w:spacing w:after="0" w:line="240" w:lineRule="auto"/>
              <w:rPr>
                <w:rFonts w:ascii="Times New Roman" w:hAnsi="Times New Roman"/>
                <w:sz w:val="20"/>
                <w:szCs w:val="20"/>
              </w:rPr>
            </w:pPr>
            <w:r>
              <w:rPr>
                <w:rFonts w:ascii="Times New Roman" w:hAnsi="Times New Roman"/>
                <w:sz w:val="20"/>
                <w:szCs w:val="20"/>
              </w:rPr>
              <w:t>0.712</w:t>
            </w:r>
          </w:p>
        </w:tc>
      </w:tr>
      <w:tr w:rsidR="00226BC6" w:rsidRPr="00103C39" w14:paraId="5C70EA7A" w14:textId="77777777" w:rsidTr="007D794A">
        <w:trPr>
          <w:trHeight w:val="264"/>
        </w:trPr>
        <w:tc>
          <w:tcPr>
            <w:tcW w:w="2303" w:type="dxa"/>
            <w:tcBorders>
              <w:top w:val="nil"/>
              <w:left w:val="nil"/>
              <w:bottom w:val="nil"/>
              <w:right w:val="nil"/>
            </w:tcBorders>
            <w:noWrap/>
            <w:vAlign w:val="bottom"/>
            <w:hideMark/>
          </w:tcPr>
          <w:p w14:paraId="5511A273" w14:textId="77777777" w:rsidR="00226BC6" w:rsidRPr="00103C39" w:rsidRDefault="00226BC6" w:rsidP="00226BC6">
            <w:pPr>
              <w:spacing w:after="0" w:line="240" w:lineRule="auto"/>
              <w:jc w:val="right"/>
              <w:rPr>
                <w:rFonts w:ascii="Times New Roman" w:hAnsi="Times New Roman"/>
                <w:sz w:val="20"/>
                <w:szCs w:val="20"/>
              </w:rPr>
            </w:pPr>
            <w:r w:rsidRPr="00103C39">
              <w:rPr>
                <w:rFonts w:ascii="Times New Roman" w:hAnsi="Times New Roman"/>
                <w:sz w:val="20"/>
                <w:szCs w:val="20"/>
              </w:rPr>
              <w:t>Female</w:t>
            </w:r>
          </w:p>
        </w:tc>
        <w:tc>
          <w:tcPr>
            <w:tcW w:w="1208" w:type="dxa"/>
            <w:tcBorders>
              <w:top w:val="nil"/>
              <w:left w:val="nil"/>
              <w:bottom w:val="nil"/>
              <w:right w:val="nil"/>
            </w:tcBorders>
            <w:noWrap/>
            <w:vAlign w:val="bottom"/>
            <w:hideMark/>
          </w:tcPr>
          <w:p w14:paraId="2091FD1B" w14:textId="77777777" w:rsidR="00226BC6" w:rsidRPr="00103C39" w:rsidRDefault="00226BC6" w:rsidP="00226BC6">
            <w:pPr>
              <w:tabs>
                <w:tab w:val="decimal" w:pos="360"/>
              </w:tabs>
              <w:spacing w:after="0" w:line="240" w:lineRule="auto"/>
              <w:rPr>
                <w:rFonts w:ascii="Times New Roman" w:hAnsi="Times New Roman"/>
                <w:sz w:val="20"/>
                <w:szCs w:val="20"/>
              </w:rPr>
            </w:pPr>
            <w:r w:rsidRPr="00103C39">
              <w:rPr>
                <w:rFonts w:ascii="Times New Roman" w:hAnsi="Times New Roman"/>
                <w:sz w:val="20"/>
                <w:szCs w:val="20"/>
              </w:rPr>
              <w:t>0.507</w:t>
            </w:r>
          </w:p>
        </w:tc>
        <w:tc>
          <w:tcPr>
            <w:tcW w:w="1208" w:type="dxa"/>
            <w:tcBorders>
              <w:top w:val="nil"/>
              <w:left w:val="nil"/>
              <w:bottom w:val="nil"/>
              <w:right w:val="nil"/>
            </w:tcBorders>
            <w:noWrap/>
            <w:vAlign w:val="bottom"/>
            <w:hideMark/>
          </w:tcPr>
          <w:p w14:paraId="1BA7BACB" w14:textId="77777777" w:rsidR="00226BC6" w:rsidRPr="00103C39" w:rsidRDefault="00226BC6" w:rsidP="00226BC6">
            <w:pPr>
              <w:tabs>
                <w:tab w:val="decimal" w:pos="360"/>
              </w:tabs>
              <w:spacing w:after="0" w:line="240" w:lineRule="auto"/>
              <w:rPr>
                <w:rFonts w:ascii="Times New Roman" w:hAnsi="Times New Roman"/>
                <w:sz w:val="20"/>
                <w:szCs w:val="20"/>
              </w:rPr>
            </w:pPr>
            <w:r w:rsidRPr="00103C39">
              <w:rPr>
                <w:rFonts w:ascii="Times New Roman" w:hAnsi="Times New Roman"/>
                <w:sz w:val="20"/>
                <w:szCs w:val="20"/>
              </w:rPr>
              <w:t>0.540</w:t>
            </w:r>
          </w:p>
        </w:tc>
        <w:tc>
          <w:tcPr>
            <w:tcW w:w="1208" w:type="dxa"/>
            <w:tcBorders>
              <w:top w:val="nil"/>
              <w:left w:val="nil"/>
              <w:bottom w:val="nil"/>
              <w:right w:val="nil"/>
            </w:tcBorders>
            <w:noWrap/>
            <w:vAlign w:val="bottom"/>
            <w:hideMark/>
          </w:tcPr>
          <w:p w14:paraId="0CB5CA40" w14:textId="77777777" w:rsidR="00226BC6" w:rsidRPr="00103C39" w:rsidRDefault="00226BC6" w:rsidP="00226BC6">
            <w:pPr>
              <w:tabs>
                <w:tab w:val="decimal" w:pos="288"/>
              </w:tabs>
              <w:spacing w:after="0" w:line="240" w:lineRule="auto"/>
              <w:rPr>
                <w:rFonts w:ascii="Times New Roman" w:hAnsi="Times New Roman"/>
                <w:sz w:val="20"/>
                <w:szCs w:val="20"/>
              </w:rPr>
            </w:pPr>
            <w:r>
              <w:rPr>
                <w:rFonts w:ascii="Times New Roman" w:hAnsi="Times New Roman"/>
                <w:sz w:val="20"/>
                <w:szCs w:val="20"/>
              </w:rPr>
              <w:t>0.528</w:t>
            </w:r>
          </w:p>
        </w:tc>
        <w:tc>
          <w:tcPr>
            <w:tcW w:w="1113" w:type="dxa"/>
            <w:tcBorders>
              <w:top w:val="nil"/>
              <w:left w:val="nil"/>
              <w:bottom w:val="nil"/>
              <w:right w:val="nil"/>
            </w:tcBorders>
            <w:vAlign w:val="bottom"/>
          </w:tcPr>
          <w:p w14:paraId="351CBE2F" w14:textId="77777777" w:rsidR="00226BC6" w:rsidRPr="00103C39" w:rsidRDefault="00226BC6" w:rsidP="00226BC6">
            <w:pPr>
              <w:tabs>
                <w:tab w:val="decimal" w:pos="288"/>
              </w:tabs>
              <w:spacing w:after="0" w:line="240" w:lineRule="auto"/>
              <w:rPr>
                <w:rFonts w:ascii="Times New Roman" w:hAnsi="Times New Roman"/>
                <w:sz w:val="20"/>
                <w:szCs w:val="20"/>
              </w:rPr>
            </w:pPr>
            <w:r>
              <w:rPr>
                <w:rFonts w:ascii="Times New Roman" w:hAnsi="Times New Roman"/>
                <w:sz w:val="20"/>
                <w:szCs w:val="20"/>
              </w:rPr>
              <w:t>0.369</w:t>
            </w:r>
          </w:p>
        </w:tc>
        <w:tc>
          <w:tcPr>
            <w:tcW w:w="1160" w:type="dxa"/>
            <w:tcBorders>
              <w:top w:val="nil"/>
              <w:left w:val="nil"/>
              <w:bottom w:val="nil"/>
              <w:right w:val="nil"/>
            </w:tcBorders>
            <w:vAlign w:val="bottom"/>
          </w:tcPr>
          <w:p w14:paraId="2AB8EF1C" w14:textId="77777777" w:rsidR="00226BC6" w:rsidRPr="00103C39" w:rsidRDefault="00226BC6" w:rsidP="00226BC6">
            <w:pPr>
              <w:tabs>
                <w:tab w:val="decimal" w:pos="288"/>
              </w:tabs>
              <w:spacing w:after="0" w:line="240" w:lineRule="auto"/>
              <w:rPr>
                <w:rFonts w:ascii="Times New Roman" w:hAnsi="Times New Roman"/>
                <w:sz w:val="20"/>
                <w:szCs w:val="20"/>
              </w:rPr>
            </w:pPr>
            <w:r>
              <w:rPr>
                <w:rFonts w:ascii="Times New Roman" w:hAnsi="Times New Roman"/>
                <w:sz w:val="20"/>
                <w:szCs w:val="20"/>
              </w:rPr>
              <w:t>0.639</w:t>
            </w:r>
          </w:p>
        </w:tc>
        <w:tc>
          <w:tcPr>
            <w:tcW w:w="1160" w:type="dxa"/>
            <w:tcBorders>
              <w:top w:val="nil"/>
              <w:left w:val="nil"/>
              <w:bottom w:val="nil"/>
              <w:right w:val="nil"/>
            </w:tcBorders>
            <w:vAlign w:val="bottom"/>
          </w:tcPr>
          <w:p w14:paraId="13B9DD71" w14:textId="77777777" w:rsidR="00226BC6" w:rsidRPr="00103C39" w:rsidRDefault="00226BC6" w:rsidP="00226BC6">
            <w:pPr>
              <w:tabs>
                <w:tab w:val="decimal" w:pos="288"/>
              </w:tabs>
              <w:spacing w:after="0" w:line="240" w:lineRule="auto"/>
              <w:rPr>
                <w:rFonts w:ascii="Times New Roman" w:hAnsi="Times New Roman"/>
                <w:sz w:val="20"/>
                <w:szCs w:val="20"/>
              </w:rPr>
            </w:pPr>
            <w:r>
              <w:rPr>
                <w:rFonts w:ascii="Times New Roman" w:hAnsi="Times New Roman"/>
                <w:sz w:val="20"/>
                <w:szCs w:val="20"/>
              </w:rPr>
              <w:t>0.284</w:t>
            </w:r>
          </w:p>
        </w:tc>
      </w:tr>
      <w:tr w:rsidR="00226BC6" w:rsidRPr="00103C39" w14:paraId="06097E11" w14:textId="77777777" w:rsidTr="007D794A">
        <w:trPr>
          <w:trHeight w:val="264"/>
        </w:trPr>
        <w:tc>
          <w:tcPr>
            <w:tcW w:w="2303" w:type="dxa"/>
            <w:tcBorders>
              <w:top w:val="nil"/>
              <w:left w:val="nil"/>
              <w:bottom w:val="nil"/>
              <w:right w:val="nil"/>
            </w:tcBorders>
            <w:noWrap/>
            <w:vAlign w:val="bottom"/>
            <w:hideMark/>
          </w:tcPr>
          <w:p w14:paraId="72E02D86" w14:textId="77777777" w:rsidR="00226BC6" w:rsidRPr="00103C39" w:rsidRDefault="00226BC6" w:rsidP="00226BC6">
            <w:pPr>
              <w:spacing w:after="0" w:line="240" w:lineRule="auto"/>
              <w:jc w:val="right"/>
              <w:rPr>
                <w:rFonts w:ascii="Times New Roman" w:hAnsi="Times New Roman"/>
                <w:sz w:val="20"/>
                <w:szCs w:val="20"/>
              </w:rPr>
            </w:pPr>
            <w:r w:rsidRPr="00103C39">
              <w:rPr>
                <w:rFonts w:ascii="Times New Roman" w:hAnsi="Times New Roman"/>
                <w:sz w:val="20"/>
                <w:szCs w:val="20"/>
              </w:rPr>
              <w:t>missing</w:t>
            </w:r>
          </w:p>
        </w:tc>
        <w:tc>
          <w:tcPr>
            <w:tcW w:w="1208" w:type="dxa"/>
            <w:tcBorders>
              <w:top w:val="nil"/>
              <w:left w:val="nil"/>
              <w:bottom w:val="nil"/>
              <w:right w:val="nil"/>
            </w:tcBorders>
            <w:noWrap/>
            <w:vAlign w:val="bottom"/>
            <w:hideMark/>
          </w:tcPr>
          <w:p w14:paraId="1D3F5A67" w14:textId="77777777" w:rsidR="00226BC6" w:rsidRPr="00103C39" w:rsidRDefault="00226BC6" w:rsidP="00226BC6">
            <w:pPr>
              <w:tabs>
                <w:tab w:val="decimal" w:pos="360"/>
              </w:tabs>
              <w:spacing w:after="0" w:line="240" w:lineRule="auto"/>
              <w:rPr>
                <w:rFonts w:ascii="Times New Roman" w:hAnsi="Times New Roman"/>
                <w:sz w:val="20"/>
                <w:szCs w:val="20"/>
              </w:rPr>
            </w:pPr>
            <w:r w:rsidRPr="00103C39">
              <w:rPr>
                <w:rFonts w:ascii="Times New Roman" w:hAnsi="Times New Roman"/>
                <w:sz w:val="20"/>
                <w:szCs w:val="20"/>
              </w:rPr>
              <w:t>0.006</w:t>
            </w:r>
          </w:p>
        </w:tc>
        <w:tc>
          <w:tcPr>
            <w:tcW w:w="1208" w:type="dxa"/>
            <w:tcBorders>
              <w:top w:val="nil"/>
              <w:left w:val="nil"/>
              <w:bottom w:val="nil"/>
              <w:right w:val="nil"/>
            </w:tcBorders>
            <w:noWrap/>
            <w:vAlign w:val="bottom"/>
            <w:hideMark/>
          </w:tcPr>
          <w:p w14:paraId="227BEA7A" w14:textId="77777777" w:rsidR="00226BC6" w:rsidRPr="00103C39" w:rsidRDefault="00226BC6" w:rsidP="00226BC6">
            <w:pPr>
              <w:tabs>
                <w:tab w:val="decimal" w:pos="360"/>
              </w:tabs>
              <w:spacing w:after="0" w:line="240" w:lineRule="auto"/>
              <w:rPr>
                <w:rFonts w:ascii="Times New Roman" w:hAnsi="Times New Roman"/>
                <w:sz w:val="20"/>
                <w:szCs w:val="20"/>
              </w:rPr>
            </w:pPr>
            <w:r w:rsidRPr="00103C39">
              <w:rPr>
                <w:rFonts w:ascii="Times New Roman" w:hAnsi="Times New Roman"/>
                <w:sz w:val="20"/>
                <w:szCs w:val="20"/>
              </w:rPr>
              <w:t>0.003</w:t>
            </w:r>
          </w:p>
        </w:tc>
        <w:tc>
          <w:tcPr>
            <w:tcW w:w="1208" w:type="dxa"/>
            <w:tcBorders>
              <w:top w:val="nil"/>
              <w:left w:val="nil"/>
              <w:bottom w:val="nil"/>
              <w:right w:val="nil"/>
            </w:tcBorders>
            <w:noWrap/>
            <w:vAlign w:val="bottom"/>
            <w:hideMark/>
          </w:tcPr>
          <w:p w14:paraId="06DF019F" w14:textId="77777777" w:rsidR="00226BC6" w:rsidRPr="00103C39" w:rsidRDefault="00226BC6" w:rsidP="00226BC6">
            <w:pPr>
              <w:tabs>
                <w:tab w:val="decimal" w:pos="288"/>
              </w:tabs>
              <w:spacing w:after="0" w:line="240" w:lineRule="auto"/>
              <w:rPr>
                <w:rFonts w:ascii="Times New Roman" w:hAnsi="Times New Roman"/>
                <w:sz w:val="20"/>
                <w:szCs w:val="20"/>
              </w:rPr>
            </w:pPr>
            <w:r>
              <w:rPr>
                <w:rFonts w:ascii="Times New Roman" w:hAnsi="Times New Roman"/>
                <w:sz w:val="20"/>
                <w:szCs w:val="20"/>
              </w:rPr>
              <w:t>0.003</w:t>
            </w:r>
          </w:p>
        </w:tc>
        <w:tc>
          <w:tcPr>
            <w:tcW w:w="1113" w:type="dxa"/>
            <w:tcBorders>
              <w:top w:val="nil"/>
              <w:left w:val="nil"/>
              <w:bottom w:val="nil"/>
              <w:right w:val="nil"/>
            </w:tcBorders>
            <w:vAlign w:val="bottom"/>
          </w:tcPr>
          <w:p w14:paraId="344DE630" w14:textId="77777777" w:rsidR="00226BC6" w:rsidRPr="00103C39" w:rsidRDefault="00226BC6" w:rsidP="00226BC6">
            <w:pPr>
              <w:tabs>
                <w:tab w:val="decimal" w:pos="288"/>
              </w:tabs>
              <w:spacing w:after="0" w:line="240" w:lineRule="auto"/>
              <w:rPr>
                <w:rFonts w:ascii="Times New Roman" w:hAnsi="Times New Roman"/>
                <w:sz w:val="20"/>
                <w:szCs w:val="20"/>
              </w:rPr>
            </w:pPr>
            <w:r>
              <w:rPr>
                <w:rFonts w:ascii="Times New Roman" w:hAnsi="Times New Roman"/>
                <w:sz w:val="20"/>
                <w:szCs w:val="20"/>
              </w:rPr>
              <w:t>0.002</w:t>
            </w:r>
          </w:p>
        </w:tc>
        <w:tc>
          <w:tcPr>
            <w:tcW w:w="1160" w:type="dxa"/>
            <w:tcBorders>
              <w:top w:val="nil"/>
              <w:left w:val="nil"/>
              <w:bottom w:val="nil"/>
              <w:right w:val="nil"/>
            </w:tcBorders>
            <w:vAlign w:val="bottom"/>
          </w:tcPr>
          <w:p w14:paraId="2B848679" w14:textId="77777777" w:rsidR="00226BC6" w:rsidRPr="00103C39" w:rsidRDefault="00226BC6" w:rsidP="00226BC6">
            <w:pPr>
              <w:tabs>
                <w:tab w:val="decimal" w:pos="288"/>
              </w:tabs>
              <w:spacing w:after="0" w:line="240" w:lineRule="auto"/>
              <w:rPr>
                <w:rFonts w:ascii="Times New Roman" w:hAnsi="Times New Roman"/>
                <w:sz w:val="20"/>
                <w:szCs w:val="20"/>
              </w:rPr>
            </w:pPr>
            <w:r>
              <w:rPr>
                <w:rFonts w:ascii="Times New Roman" w:hAnsi="Times New Roman"/>
                <w:sz w:val="20"/>
                <w:szCs w:val="20"/>
              </w:rPr>
              <w:t>0.002</w:t>
            </w:r>
          </w:p>
        </w:tc>
        <w:tc>
          <w:tcPr>
            <w:tcW w:w="1160" w:type="dxa"/>
            <w:tcBorders>
              <w:top w:val="nil"/>
              <w:left w:val="nil"/>
              <w:bottom w:val="nil"/>
              <w:right w:val="nil"/>
            </w:tcBorders>
            <w:vAlign w:val="bottom"/>
          </w:tcPr>
          <w:p w14:paraId="16278AEE" w14:textId="77777777" w:rsidR="00226BC6" w:rsidRPr="00103C39" w:rsidRDefault="00226BC6" w:rsidP="00226BC6">
            <w:pPr>
              <w:tabs>
                <w:tab w:val="decimal" w:pos="288"/>
              </w:tabs>
              <w:spacing w:after="0" w:line="240" w:lineRule="auto"/>
              <w:rPr>
                <w:rFonts w:ascii="Times New Roman" w:hAnsi="Times New Roman"/>
                <w:sz w:val="20"/>
                <w:szCs w:val="20"/>
              </w:rPr>
            </w:pPr>
            <w:r>
              <w:rPr>
                <w:rFonts w:ascii="Times New Roman" w:hAnsi="Times New Roman"/>
                <w:sz w:val="20"/>
                <w:szCs w:val="20"/>
              </w:rPr>
              <w:t>0.003</w:t>
            </w:r>
          </w:p>
        </w:tc>
      </w:tr>
      <w:tr w:rsidR="00226BC6" w:rsidRPr="00103C39" w14:paraId="6DF520C8" w14:textId="77777777" w:rsidTr="007D794A">
        <w:trPr>
          <w:trHeight w:val="264"/>
        </w:trPr>
        <w:tc>
          <w:tcPr>
            <w:tcW w:w="2303" w:type="dxa"/>
            <w:tcBorders>
              <w:top w:val="nil"/>
              <w:left w:val="nil"/>
              <w:bottom w:val="nil"/>
              <w:right w:val="nil"/>
            </w:tcBorders>
            <w:noWrap/>
            <w:vAlign w:val="bottom"/>
            <w:hideMark/>
          </w:tcPr>
          <w:p w14:paraId="35360F18" w14:textId="77777777" w:rsidR="00226BC6" w:rsidRPr="00103C39" w:rsidRDefault="00226BC6" w:rsidP="00226BC6">
            <w:pPr>
              <w:spacing w:after="0" w:line="240" w:lineRule="auto"/>
              <w:rPr>
                <w:rFonts w:ascii="Times New Roman" w:hAnsi="Times New Roman"/>
                <w:b/>
                <w:bCs/>
                <w:sz w:val="20"/>
                <w:szCs w:val="20"/>
              </w:rPr>
            </w:pPr>
          </w:p>
        </w:tc>
        <w:tc>
          <w:tcPr>
            <w:tcW w:w="1208" w:type="dxa"/>
            <w:tcBorders>
              <w:top w:val="nil"/>
              <w:left w:val="nil"/>
              <w:bottom w:val="nil"/>
              <w:right w:val="nil"/>
            </w:tcBorders>
            <w:noWrap/>
            <w:vAlign w:val="bottom"/>
            <w:hideMark/>
          </w:tcPr>
          <w:p w14:paraId="75EDD90B" w14:textId="77777777" w:rsidR="00226BC6" w:rsidRPr="00103C39" w:rsidRDefault="00226BC6" w:rsidP="00226BC6">
            <w:pPr>
              <w:tabs>
                <w:tab w:val="decimal" w:pos="360"/>
              </w:tabs>
              <w:spacing w:after="0" w:line="240" w:lineRule="auto"/>
              <w:rPr>
                <w:rFonts w:ascii="Times New Roman" w:hAnsi="Times New Roman"/>
                <w:sz w:val="20"/>
                <w:szCs w:val="20"/>
              </w:rPr>
            </w:pPr>
          </w:p>
        </w:tc>
        <w:tc>
          <w:tcPr>
            <w:tcW w:w="1208" w:type="dxa"/>
            <w:tcBorders>
              <w:top w:val="nil"/>
              <w:left w:val="nil"/>
              <w:bottom w:val="nil"/>
              <w:right w:val="nil"/>
            </w:tcBorders>
            <w:noWrap/>
            <w:vAlign w:val="bottom"/>
            <w:hideMark/>
          </w:tcPr>
          <w:p w14:paraId="40AC6638" w14:textId="77777777" w:rsidR="00226BC6" w:rsidRPr="00103C39" w:rsidRDefault="00226BC6" w:rsidP="00226BC6">
            <w:pPr>
              <w:tabs>
                <w:tab w:val="decimal" w:pos="360"/>
              </w:tabs>
              <w:spacing w:after="0" w:line="240" w:lineRule="auto"/>
              <w:rPr>
                <w:rFonts w:ascii="Times New Roman" w:hAnsi="Times New Roman"/>
                <w:sz w:val="20"/>
                <w:szCs w:val="20"/>
              </w:rPr>
            </w:pPr>
          </w:p>
        </w:tc>
        <w:tc>
          <w:tcPr>
            <w:tcW w:w="1208" w:type="dxa"/>
            <w:tcBorders>
              <w:top w:val="nil"/>
              <w:left w:val="nil"/>
              <w:bottom w:val="nil"/>
              <w:right w:val="nil"/>
            </w:tcBorders>
            <w:noWrap/>
            <w:vAlign w:val="bottom"/>
            <w:hideMark/>
          </w:tcPr>
          <w:p w14:paraId="30DA497D" w14:textId="77777777" w:rsidR="00226BC6" w:rsidRPr="00103C39" w:rsidRDefault="00226BC6" w:rsidP="00226BC6">
            <w:pPr>
              <w:tabs>
                <w:tab w:val="decimal" w:pos="288"/>
              </w:tabs>
              <w:spacing w:after="0" w:line="240" w:lineRule="auto"/>
              <w:rPr>
                <w:rFonts w:ascii="Times New Roman" w:hAnsi="Times New Roman"/>
                <w:sz w:val="20"/>
                <w:szCs w:val="20"/>
              </w:rPr>
            </w:pPr>
          </w:p>
        </w:tc>
        <w:tc>
          <w:tcPr>
            <w:tcW w:w="1113" w:type="dxa"/>
            <w:tcBorders>
              <w:top w:val="nil"/>
              <w:left w:val="nil"/>
              <w:bottom w:val="nil"/>
              <w:right w:val="nil"/>
            </w:tcBorders>
            <w:vAlign w:val="bottom"/>
          </w:tcPr>
          <w:p w14:paraId="4141FD67" w14:textId="77777777" w:rsidR="00226BC6" w:rsidRPr="00103C39" w:rsidRDefault="00226BC6" w:rsidP="00226BC6">
            <w:pPr>
              <w:tabs>
                <w:tab w:val="decimal" w:pos="288"/>
              </w:tabs>
              <w:spacing w:after="0" w:line="240" w:lineRule="auto"/>
              <w:rPr>
                <w:rFonts w:ascii="Times New Roman" w:hAnsi="Times New Roman"/>
                <w:sz w:val="20"/>
                <w:szCs w:val="20"/>
              </w:rPr>
            </w:pPr>
          </w:p>
        </w:tc>
        <w:tc>
          <w:tcPr>
            <w:tcW w:w="1160" w:type="dxa"/>
            <w:tcBorders>
              <w:top w:val="nil"/>
              <w:left w:val="nil"/>
              <w:bottom w:val="nil"/>
              <w:right w:val="nil"/>
            </w:tcBorders>
            <w:vAlign w:val="bottom"/>
          </w:tcPr>
          <w:p w14:paraId="1BA32CB7" w14:textId="77777777" w:rsidR="00226BC6" w:rsidRPr="00103C39" w:rsidRDefault="00226BC6" w:rsidP="00226BC6">
            <w:pPr>
              <w:tabs>
                <w:tab w:val="decimal" w:pos="288"/>
              </w:tabs>
              <w:spacing w:after="0" w:line="240" w:lineRule="auto"/>
              <w:rPr>
                <w:rFonts w:ascii="Times New Roman" w:hAnsi="Times New Roman"/>
                <w:sz w:val="20"/>
                <w:szCs w:val="20"/>
              </w:rPr>
            </w:pPr>
          </w:p>
        </w:tc>
        <w:tc>
          <w:tcPr>
            <w:tcW w:w="1160" w:type="dxa"/>
            <w:tcBorders>
              <w:top w:val="nil"/>
              <w:left w:val="nil"/>
              <w:bottom w:val="nil"/>
              <w:right w:val="nil"/>
            </w:tcBorders>
            <w:vAlign w:val="bottom"/>
          </w:tcPr>
          <w:p w14:paraId="5DF72938" w14:textId="77777777" w:rsidR="00226BC6" w:rsidRPr="00103C39" w:rsidRDefault="00226BC6" w:rsidP="00226BC6">
            <w:pPr>
              <w:tabs>
                <w:tab w:val="decimal" w:pos="288"/>
              </w:tabs>
              <w:spacing w:after="0" w:line="240" w:lineRule="auto"/>
              <w:rPr>
                <w:rFonts w:ascii="Times New Roman" w:hAnsi="Times New Roman"/>
                <w:sz w:val="20"/>
                <w:szCs w:val="20"/>
              </w:rPr>
            </w:pPr>
          </w:p>
        </w:tc>
      </w:tr>
      <w:tr w:rsidR="00226BC6" w:rsidRPr="00103C39" w14:paraId="7878E080" w14:textId="77777777" w:rsidTr="007D794A">
        <w:trPr>
          <w:trHeight w:val="264"/>
        </w:trPr>
        <w:tc>
          <w:tcPr>
            <w:tcW w:w="2303" w:type="dxa"/>
            <w:tcBorders>
              <w:top w:val="nil"/>
              <w:left w:val="nil"/>
              <w:bottom w:val="nil"/>
              <w:right w:val="nil"/>
            </w:tcBorders>
            <w:noWrap/>
            <w:vAlign w:val="bottom"/>
            <w:hideMark/>
          </w:tcPr>
          <w:p w14:paraId="6FF797E2" w14:textId="77777777" w:rsidR="00226BC6" w:rsidRPr="001118DB" w:rsidRDefault="00226BC6" w:rsidP="00226BC6">
            <w:pPr>
              <w:spacing w:after="0" w:line="240" w:lineRule="auto"/>
              <w:jc w:val="right"/>
              <w:rPr>
                <w:rFonts w:ascii="Times New Roman" w:hAnsi="Times New Roman"/>
                <w:sz w:val="20"/>
                <w:szCs w:val="20"/>
              </w:rPr>
            </w:pPr>
            <w:r>
              <w:rPr>
                <w:rFonts w:ascii="Times New Roman" w:hAnsi="Times New Roman"/>
                <w:b/>
                <w:sz w:val="20"/>
                <w:szCs w:val="20"/>
              </w:rPr>
              <w:t>Race</w:t>
            </w:r>
            <w:r>
              <w:rPr>
                <w:rFonts w:ascii="Times New Roman" w:hAnsi="Times New Roman"/>
                <w:sz w:val="20"/>
                <w:szCs w:val="20"/>
              </w:rPr>
              <w:t xml:space="preserve">                White</w:t>
            </w:r>
          </w:p>
        </w:tc>
        <w:tc>
          <w:tcPr>
            <w:tcW w:w="1208" w:type="dxa"/>
            <w:tcBorders>
              <w:top w:val="nil"/>
              <w:left w:val="nil"/>
              <w:bottom w:val="nil"/>
              <w:right w:val="nil"/>
            </w:tcBorders>
            <w:noWrap/>
            <w:vAlign w:val="bottom"/>
            <w:hideMark/>
          </w:tcPr>
          <w:p w14:paraId="088AA36E" w14:textId="77777777" w:rsidR="00226BC6" w:rsidRPr="00103C39" w:rsidRDefault="00226BC6" w:rsidP="00226BC6">
            <w:pPr>
              <w:tabs>
                <w:tab w:val="decimal" w:pos="360"/>
              </w:tabs>
              <w:spacing w:after="0" w:line="240" w:lineRule="auto"/>
              <w:rPr>
                <w:rFonts w:ascii="Times New Roman" w:hAnsi="Times New Roman"/>
                <w:sz w:val="20"/>
                <w:szCs w:val="20"/>
              </w:rPr>
            </w:pPr>
            <w:r w:rsidRPr="00103C39">
              <w:rPr>
                <w:rFonts w:ascii="Times New Roman" w:hAnsi="Times New Roman"/>
                <w:sz w:val="20"/>
                <w:szCs w:val="20"/>
              </w:rPr>
              <w:t>0.377</w:t>
            </w:r>
          </w:p>
        </w:tc>
        <w:tc>
          <w:tcPr>
            <w:tcW w:w="1208" w:type="dxa"/>
            <w:tcBorders>
              <w:top w:val="nil"/>
              <w:left w:val="nil"/>
              <w:bottom w:val="nil"/>
              <w:right w:val="nil"/>
            </w:tcBorders>
            <w:noWrap/>
            <w:vAlign w:val="bottom"/>
            <w:hideMark/>
          </w:tcPr>
          <w:p w14:paraId="49AC5CD8" w14:textId="77777777" w:rsidR="00226BC6" w:rsidRPr="00103C39" w:rsidRDefault="00226BC6" w:rsidP="00226BC6">
            <w:pPr>
              <w:tabs>
                <w:tab w:val="decimal" w:pos="360"/>
              </w:tabs>
              <w:spacing w:after="0" w:line="240" w:lineRule="auto"/>
              <w:rPr>
                <w:rFonts w:ascii="Times New Roman" w:hAnsi="Times New Roman"/>
                <w:sz w:val="20"/>
                <w:szCs w:val="20"/>
              </w:rPr>
            </w:pPr>
            <w:r w:rsidRPr="00103C39">
              <w:rPr>
                <w:rFonts w:ascii="Times New Roman" w:hAnsi="Times New Roman"/>
                <w:sz w:val="20"/>
                <w:szCs w:val="20"/>
              </w:rPr>
              <w:t>0.399</w:t>
            </w:r>
          </w:p>
        </w:tc>
        <w:tc>
          <w:tcPr>
            <w:tcW w:w="1208" w:type="dxa"/>
            <w:tcBorders>
              <w:top w:val="nil"/>
              <w:left w:val="nil"/>
              <w:bottom w:val="nil"/>
              <w:right w:val="nil"/>
            </w:tcBorders>
            <w:noWrap/>
            <w:vAlign w:val="bottom"/>
            <w:hideMark/>
          </w:tcPr>
          <w:p w14:paraId="7472B8E9" w14:textId="77777777" w:rsidR="00226BC6" w:rsidRPr="00103C39" w:rsidRDefault="00226BC6" w:rsidP="00226BC6">
            <w:pPr>
              <w:tabs>
                <w:tab w:val="decimal" w:pos="288"/>
              </w:tabs>
              <w:spacing w:after="0" w:line="240" w:lineRule="auto"/>
              <w:rPr>
                <w:rFonts w:ascii="Times New Roman" w:hAnsi="Times New Roman"/>
                <w:sz w:val="20"/>
                <w:szCs w:val="20"/>
              </w:rPr>
            </w:pPr>
            <w:r>
              <w:rPr>
                <w:rFonts w:ascii="Times New Roman" w:hAnsi="Times New Roman"/>
                <w:sz w:val="20"/>
                <w:szCs w:val="20"/>
              </w:rPr>
              <w:t>0.405</w:t>
            </w:r>
          </w:p>
        </w:tc>
        <w:tc>
          <w:tcPr>
            <w:tcW w:w="1113" w:type="dxa"/>
            <w:tcBorders>
              <w:top w:val="nil"/>
              <w:left w:val="nil"/>
              <w:bottom w:val="nil"/>
              <w:right w:val="nil"/>
            </w:tcBorders>
            <w:vAlign w:val="bottom"/>
          </w:tcPr>
          <w:p w14:paraId="702CB8CE" w14:textId="77777777" w:rsidR="00226BC6" w:rsidRPr="00103C39" w:rsidRDefault="00226BC6" w:rsidP="00226BC6">
            <w:pPr>
              <w:tabs>
                <w:tab w:val="decimal" w:pos="288"/>
              </w:tabs>
              <w:spacing w:after="0" w:line="240" w:lineRule="auto"/>
              <w:rPr>
                <w:rFonts w:ascii="Times New Roman" w:hAnsi="Times New Roman"/>
                <w:sz w:val="20"/>
                <w:szCs w:val="20"/>
              </w:rPr>
            </w:pPr>
            <w:r>
              <w:rPr>
                <w:rFonts w:ascii="Times New Roman" w:hAnsi="Times New Roman"/>
                <w:sz w:val="20"/>
                <w:szCs w:val="20"/>
              </w:rPr>
              <w:t>0.359</w:t>
            </w:r>
          </w:p>
        </w:tc>
        <w:tc>
          <w:tcPr>
            <w:tcW w:w="1160" w:type="dxa"/>
            <w:tcBorders>
              <w:top w:val="nil"/>
              <w:left w:val="nil"/>
              <w:bottom w:val="nil"/>
              <w:right w:val="nil"/>
            </w:tcBorders>
            <w:vAlign w:val="bottom"/>
          </w:tcPr>
          <w:p w14:paraId="7EBAA1E8" w14:textId="77777777" w:rsidR="00226BC6" w:rsidRPr="00103C39" w:rsidRDefault="00226BC6" w:rsidP="00226BC6">
            <w:pPr>
              <w:tabs>
                <w:tab w:val="decimal" w:pos="288"/>
              </w:tabs>
              <w:spacing w:after="0" w:line="240" w:lineRule="auto"/>
              <w:rPr>
                <w:rFonts w:ascii="Times New Roman" w:hAnsi="Times New Roman"/>
                <w:sz w:val="20"/>
                <w:szCs w:val="20"/>
              </w:rPr>
            </w:pPr>
            <w:r>
              <w:rPr>
                <w:rFonts w:ascii="Times New Roman" w:hAnsi="Times New Roman"/>
                <w:sz w:val="20"/>
                <w:szCs w:val="20"/>
              </w:rPr>
              <w:t>0.365</w:t>
            </w:r>
          </w:p>
        </w:tc>
        <w:tc>
          <w:tcPr>
            <w:tcW w:w="1160" w:type="dxa"/>
            <w:tcBorders>
              <w:top w:val="nil"/>
              <w:left w:val="nil"/>
              <w:bottom w:val="nil"/>
              <w:right w:val="nil"/>
            </w:tcBorders>
            <w:vAlign w:val="bottom"/>
          </w:tcPr>
          <w:p w14:paraId="58E230D9" w14:textId="77777777" w:rsidR="00226BC6" w:rsidRPr="00103C39" w:rsidRDefault="00226BC6" w:rsidP="00226BC6">
            <w:pPr>
              <w:tabs>
                <w:tab w:val="decimal" w:pos="288"/>
              </w:tabs>
              <w:spacing w:after="0" w:line="240" w:lineRule="auto"/>
              <w:rPr>
                <w:rFonts w:ascii="Times New Roman" w:hAnsi="Times New Roman"/>
                <w:sz w:val="20"/>
                <w:szCs w:val="20"/>
              </w:rPr>
            </w:pPr>
            <w:r>
              <w:rPr>
                <w:rFonts w:ascii="Times New Roman" w:hAnsi="Times New Roman"/>
                <w:sz w:val="20"/>
                <w:szCs w:val="20"/>
              </w:rPr>
              <w:t>0.380</w:t>
            </w:r>
          </w:p>
        </w:tc>
      </w:tr>
      <w:tr w:rsidR="00226BC6" w:rsidRPr="00103C39" w14:paraId="748F82A0" w14:textId="77777777" w:rsidTr="007D794A">
        <w:trPr>
          <w:trHeight w:val="264"/>
        </w:trPr>
        <w:tc>
          <w:tcPr>
            <w:tcW w:w="2303" w:type="dxa"/>
            <w:tcBorders>
              <w:top w:val="nil"/>
              <w:left w:val="nil"/>
              <w:bottom w:val="nil"/>
              <w:right w:val="nil"/>
            </w:tcBorders>
            <w:noWrap/>
            <w:vAlign w:val="bottom"/>
            <w:hideMark/>
          </w:tcPr>
          <w:p w14:paraId="50498F60" w14:textId="77777777" w:rsidR="00226BC6" w:rsidRPr="00103C39" w:rsidRDefault="00226BC6" w:rsidP="00226BC6">
            <w:pPr>
              <w:spacing w:after="0" w:line="240" w:lineRule="auto"/>
              <w:jc w:val="right"/>
              <w:rPr>
                <w:rFonts w:ascii="Times New Roman" w:hAnsi="Times New Roman"/>
                <w:sz w:val="20"/>
                <w:szCs w:val="20"/>
              </w:rPr>
            </w:pPr>
            <w:r w:rsidRPr="00103C39">
              <w:rPr>
                <w:rFonts w:ascii="Times New Roman" w:hAnsi="Times New Roman"/>
                <w:sz w:val="20"/>
                <w:szCs w:val="20"/>
              </w:rPr>
              <w:t>Black</w:t>
            </w:r>
          </w:p>
        </w:tc>
        <w:tc>
          <w:tcPr>
            <w:tcW w:w="1208" w:type="dxa"/>
            <w:tcBorders>
              <w:top w:val="nil"/>
              <w:left w:val="nil"/>
              <w:bottom w:val="nil"/>
              <w:right w:val="nil"/>
            </w:tcBorders>
            <w:noWrap/>
            <w:vAlign w:val="bottom"/>
            <w:hideMark/>
          </w:tcPr>
          <w:p w14:paraId="310E3FE6" w14:textId="77777777" w:rsidR="00226BC6" w:rsidRPr="00103C39" w:rsidRDefault="00226BC6" w:rsidP="00226BC6">
            <w:pPr>
              <w:tabs>
                <w:tab w:val="decimal" w:pos="360"/>
              </w:tabs>
              <w:spacing w:after="0" w:line="240" w:lineRule="auto"/>
              <w:rPr>
                <w:rFonts w:ascii="Times New Roman" w:hAnsi="Times New Roman"/>
                <w:sz w:val="20"/>
                <w:szCs w:val="20"/>
              </w:rPr>
            </w:pPr>
            <w:r w:rsidRPr="00103C39">
              <w:rPr>
                <w:rFonts w:ascii="Times New Roman" w:hAnsi="Times New Roman"/>
                <w:sz w:val="20"/>
                <w:szCs w:val="20"/>
              </w:rPr>
              <w:t>0.093</w:t>
            </w:r>
          </w:p>
        </w:tc>
        <w:tc>
          <w:tcPr>
            <w:tcW w:w="1208" w:type="dxa"/>
            <w:tcBorders>
              <w:top w:val="nil"/>
              <w:left w:val="nil"/>
              <w:bottom w:val="nil"/>
              <w:right w:val="nil"/>
            </w:tcBorders>
            <w:noWrap/>
            <w:vAlign w:val="bottom"/>
            <w:hideMark/>
          </w:tcPr>
          <w:p w14:paraId="0AB63539" w14:textId="77777777" w:rsidR="00226BC6" w:rsidRPr="00103C39" w:rsidRDefault="00226BC6" w:rsidP="00226BC6">
            <w:pPr>
              <w:tabs>
                <w:tab w:val="decimal" w:pos="360"/>
              </w:tabs>
              <w:spacing w:after="0" w:line="240" w:lineRule="auto"/>
              <w:rPr>
                <w:rFonts w:ascii="Times New Roman" w:hAnsi="Times New Roman"/>
                <w:sz w:val="20"/>
                <w:szCs w:val="20"/>
              </w:rPr>
            </w:pPr>
            <w:r w:rsidRPr="00103C39">
              <w:rPr>
                <w:rFonts w:ascii="Times New Roman" w:hAnsi="Times New Roman"/>
                <w:sz w:val="20"/>
                <w:szCs w:val="20"/>
              </w:rPr>
              <w:t>0.070</w:t>
            </w:r>
          </w:p>
        </w:tc>
        <w:tc>
          <w:tcPr>
            <w:tcW w:w="1208" w:type="dxa"/>
            <w:tcBorders>
              <w:top w:val="nil"/>
              <w:left w:val="nil"/>
              <w:bottom w:val="nil"/>
              <w:right w:val="nil"/>
            </w:tcBorders>
            <w:noWrap/>
            <w:vAlign w:val="bottom"/>
            <w:hideMark/>
          </w:tcPr>
          <w:p w14:paraId="0B2476F2" w14:textId="77777777" w:rsidR="00226BC6" w:rsidRPr="00103C39" w:rsidRDefault="00226BC6" w:rsidP="00226BC6">
            <w:pPr>
              <w:tabs>
                <w:tab w:val="decimal" w:pos="288"/>
              </w:tabs>
              <w:spacing w:after="0" w:line="240" w:lineRule="auto"/>
              <w:rPr>
                <w:rFonts w:ascii="Times New Roman" w:hAnsi="Times New Roman"/>
                <w:sz w:val="20"/>
                <w:szCs w:val="20"/>
              </w:rPr>
            </w:pPr>
            <w:r>
              <w:rPr>
                <w:rFonts w:ascii="Times New Roman" w:hAnsi="Times New Roman"/>
                <w:sz w:val="20"/>
                <w:szCs w:val="20"/>
              </w:rPr>
              <w:t>0.091</w:t>
            </w:r>
          </w:p>
        </w:tc>
        <w:tc>
          <w:tcPr>
            <w:tcW w:w="1113" w:type="dxa"/>
            <w:tcBorders>
              <w:top w:val="nil"/>
              <w:left w:val="nil"/>
              <w:bottom w:val="nil"/>
              <w:right w:val="nil"/>
            </w:tcBorders>
            <w:vAlign w:val="bottom"/>
          </w:tcPr>
          <w:p w14:paraId="10F3CDFA" w14:textId="77777777" w:rsidR="00226BC6" w:rsidRPr="00103C39" w:rsidRDefault="00226BC6" w:rsidP="00226BC6">
            <w:pPr>
              <w:tabs>
                <w:tab w:val="decimal" w:pos="288"/>
              </w:tabs>
              <w:spacing w:after="0" w:line="240" w:lineRule="auto"/>
              <w:rPr>
                <w:rFonts w:ascii="Times New Roman" w:hAnsi="Times New Roman"/>
                <w:sz w:val="20"/>
                <w:szCs w:val="20"/>
              </w:rPr>
            </w:pPr>
            <w:r>
              <w:rPr>
                <w:rFonts w:ascii="Times New Roman" w:hAnsi="Times New Roman"/>
                <w:sz w:val="20"/>
                <w:szCs w:val="20"/>
              </w:rPr>
              <w:t>0.036</w:t>
            </w:r>
          </w:p>
        </w:tc>
        <w:tc>
          <w:tcPr>
            <w:tcW w:w="1160" w:type="dxa"/>
            <w:tcBorders>
              <w:top w:val="nil"/>
              <w:left w:val="nil"/>
              <w:bottom w:val="nil"/>
              <w:right w:val="nil"/>
            </w:tcBorders>
            <w:vAlign w:val="bottom"/>
          </w:tcPr>
          <w:p w14:paraId="74319BCD" w14:textId="77777777" w:rsidR="00226BC6" w:rsidRPr="00103C39" w:rsidRDefault="00226BC6" w:rsidP="00226BC6">
            <w:pPr>
              <w:tabs>
                <w:tab w:val="decimal" w:pos="288"/>
              </w:tabs>
              <w:spacing w:after="0" w:line="240" w:lineRule="auto"/>
              <w:rPr>
                <w:rFonts w:ascii="Times New Roman" w:hAnsi="Times New Roman"/>
                <w:sz w:val="20"/>
                <w:szCs w:val="20"/>
              </w:rPr>
            </w:pPr>
            <w:r>
              <w:rPr>
                <w:rFonts w:ascii="Times New Roman" w:hAnsi="Times New Roman"/>
                <w:sz w:val="20"/>
                <w:szCs w:val="20"/>
              </w:rPr>
              <w:t>0.055</w:t>
            </w:r>
          </w:p>
        </w:tc>
        <w:tc>
          <w:tcPr>
            <w:tcW w:w="1160" w:type="dxa"/>
            <w:tcBorders>
              <w:top w:val="nil"/>
              <w:left w:val="nil"/>
              <w:bottom w:val="nil"/>
              <w:right w:val="nil"/>
            </w:tcBorders>
            <w:vAlign w:val="bottom"/>
          </w:tcPr>
          <w:p w14:paraId="2E32F937" w14:textId="77777777" w:rsidR="00226BC6" w:rsidRPr="00103C39" w:rsidRDefault="00226BC6" w:rsidP="00226BC6">
            <w:pPr>
              <w:tabs>
                <w:tab w:val="decimal" w:pos="288"/>
              </w:tabs>
              <w:spacing w:after="0" w:line="240" w:lineRule="auto"/>
              <w:rPr>
                <w:rFonts w:ascii="Times New Roman" w:hAnsi="Times New Roman"/>
                <w:sz w:val="20"/>
                <w:szCs w:val="20"/>
              </w:rPr>
            </w:pPr>
            <w:r>
              <w:rPr>
                <w:rFonts w:ascii="Times New Roman" w:hAnsi="Times New Roman"/>
                <w:sz w:val="20"/>
                <w:szCs w:val="20"/>
              </w:rPr>
              <w:t>0.043</w:t>
            </w:r>
          </w:p>
        </w:tc>
      </w:tr>
      <w:tr w:rsidR="00226BC6" w:rsidRPr="00103C39" w14:paraId="5382EF3D" w14:textId="77777777" w:rsidTr="007D794A">
        <w:trPr>
          <w:trHeight w:val="264"/>
        </w:trPr>
        <w:tc>
          <w:tcPr>
            <w:tcW w:w="2303" w:type="dxa"/>
            <w:tcBorders>
              <w:top w:val="nil"/>
              <w:left w:val="nil"/>
              <w:bottom w:val="nil"/>
              <w:right w:val="nil"/>
            </w:tcBorders>
            <w:noWrap/>
            <w:vAlign w:val="bottom"/>
            <w:hideMark/>
          </w:tcPr>
          <w:p w14:paraId="4093378D" w14:textId="77777777" w:rsidR="00226BC6" w:rsidRPr="00103C39" w:rsidRDefault="00226BC6" w:rsidP="00226BC6">
            <w:pPr>
              <w:spacing w:after="0" w:line="240" w:lineRule="auto"/>
              <w:jc w:val="right"/>
              <w:rPr>
                <w:rFonts w:ascii="Times New Roman" w:hAnsi="Times New Roman"/>
                <w:sz w:val="20"/>
                <w:szCs w:val="20"/>
              </w:rPr>
            </w:pPr>
            <w:r w:rsidRPr="00103C39">
              <w:rPr>
                <w:rFonts w:ascii="Times New Roman" w:hAnsi="Times New Roman"/>
                <w:sz w:val="20"/>
                <w:szCs w:val="20"/>
              </w:rPr>
              <w:t>Hispanic</w:t>
            </w:r>
          </w:p>
        </w:tc>
        <w:tc>
          <w:tcPr>
            <w:tcW w:w="1208" w:type="dxa"/>
            <w:tcBorders>
              <w:top w:val="nil"/>
              <w:left w:val="nil"/>
              <w:bottom w:val="nil"/>
              <w:right w:val="nil"/>
            </w:tcBorders>
            <w:noWrap/>
            <w:vAlign w:val="bottom"/>
            <w:hideMark/>
          </w:tcPr>
          <w:p w14:paraId="6AC6E6C6" w14:textId="77777777" w:rsidR="00226BC6" w:rsidRPr="00103C39" w:rsidRDefault="00226BC6" w:rsidP="00226BC6">
            <w:pPr>
              <w:tabs>
                <w:tab w:val="decimal" w:pos="360"/>
              </w:tabs>
              <w:spacing w:after="0" w:line="240" w:lineRule="auto"/>
              <w:rPr>
                <w:rFonts w:ascii="Times New Roman" w:hAnsi="Times New Roman"/>
                <w:sz w:val="20"/>
                <w:szCs w:val="20"/>
              </w:rPr>
            </w:pPr>
            <w:r w:rsidRPr="00103C39">
              <w:rPr>
                <w:rFonts w:ascii="Times New Roman" w:hAnsi="Times New Roman"/>
                <w:sz w:val="20"/>
                <w:szCs w:val="20"/>
              </w:rPr>
              <w:t>0.335</w:t>
            </w:r>
          </w:p>
        </w:tc>
        <w:tc>
          <w:tcPr>
            <w:tcW w:w="1208" w:type="dxa"/>
            <w:tcBorders>
              <w:top w:val="nil"/>
              <w:left w:val="nil"/>
              <w:bottom w:val="nil"/>
              <w:right w:val="nil"/>
            </w:tcBorders>
            <w:noWrap/>
            <w:vAlign w:val="bottom"/>
            <w:hideMark/>
          </w:tcPr>
          <w:p w14:paraId="6B902FDD" w14:textId="77777777" w:rsidR="00226BC6" w:rsidRPr="00103C39" w:rsidRDefault="00226BC6" w:rsidP="00226BC6">
            <w:pPr>
              <w:tabs>
                <w:tab w:val="decimal" w:pos="360"/>
              </w:tabs>
              <w:spacing w:after="0" w:line="240" w:lineRule="auto"/>
              <w:rPr>
                <w:rFonts w:ascii="Times New Roman" w:hAnsi="Times New Roman"/>
                <w:sz w:val="20"/>
                <w:szCs w:val="20"/>
              </w:rPr>
            </w:pPr>
            <w:r w:rsidRPr="00103C39">
              <w:rPr>
                <w:rFonts w:ascii="Times New Roman" w:hAnsi="Times New Roman"/>
                <w:sz w:val="20"/>
                <w:szCs w:val="20"/>
              </w:rPr>
              <w:t>0.294</w:t>
            </w:r>
          </w:p>
        </w:tc>
        <w:tc>
          <w:tcPr>
            <w:tcW w:w="1208" w:type="dxa"/>
            <w:tcBorders>
              <w:top w:val="nil"/>
              <w:left w:val="nil"/>
              <w:bottom w:val="nil"/>
              <w:right w:val="nil"/>
            </w:tcBorders>
            <w:noWrap/>
            <w:vAlign w:val="bottom"/>
            <w:hideMark/>
          </w:tcPr>
          <w:p w14:paraId="15892DE5" w14:textId="77777777" w:rsidR="00226BC6" w:rsidRPr="00103C39" w:rsidRDefault="00226BC6" w:rsidP="00226BC6">
            <w:pPr>
              <w:tabs>
                <w:tab w:val="decimal" w:pos="288"/>
              </w:tabs>
              <w:spacing w:after="0" w:line="240" w:lineRule="auto"/>
              <w:rPr>
                <w:rFonts w:ascii="Times New Roman" w:hAnsi="Times New Roman"/>
                <w:sz w:val="20"/>
                <w:szCs w:val="20"/>
              </w:rPr>
            </w:pPr>
            <w:r>
              <w:rPr>
                <w:rFonts w:ascii="Times New Roman" w:hAnsi="Times New Roman"/>
                <w:sz w:val="20"/>
                <w:szCs w:val="20"/>
              </w:rPr>
              <w:t>0.308</w:t>
            </w:r>
          </w:p>
        </w:tc>
        <w:tc>
          <w:tcPr>
            <w:tcW w:w="1113" w:type="dxa"/>
            <w:tcBorders>
              <w:top w:val="nil"/>
              <w:left w:val="nil"/>
              <w:bottom w:val="nil"/>
              <w:right w:val="nil"/>
            </w:tcBorders>
            <w:vAlign w:val="bottom"/>
          </w:tcPr>
          <w:p w14:paraId="4AB2605D" w14:textId="77777777" w:rsidR="00226BC6" w:rsidRPr="00103C39" w:rsidRDefault="00226BC6" w:rsidP="00226BC6">
            <w:pPr>
              <w:tabs>
                <w:tab w:val="decimal" w:pos="288"/>
              </w:tabs>
              <w:spacing w:after="0" w:line="240" w:lineRule="auto"/>
              <w:rPr>
                <w:rFonts w:ascii="Times New Roman" w:hAnsi="Times New Roman"/>
                <w:sz w:val="20"/>
                <w:szCs w:val="20"/>
              </w:rPr>
            </w:pPr>
            <w:r>
              <w:rPr>
                <w:rFonts w:ascii="Times New Roman" w:hAnsi="Times New Roman"/>
                <w:sz w:val="20"/>
                <w:szCs w:val="20"/>
              </w:rPr>
              <w:t>0.212</w:t>
            </w:r>
          </w:p>
        </w:tc>
        <w:tc>
          <w:tcPr>
            <w:tcW w:w="1160" w:type="dxa"/>
            <w:tcBorders>
              <w:top w:val="nil"/>
              <w:left w:val="nil"/>
              <w:bottom w:val="nil"/>
              <w:right w:val="nil"/>
            </w:tcBorders>
            <w:vAlign w:val="bottom"/>
          </w:tcPr>
          <w:p w14:paraId="3827B623" w14:textId="77777777" w:rsidR="00226BC6" w:rsidRPr="00103C39" w:rsidRDefault="00226BC6" w:rsidP="00226BC6">
            <w:pPr>
              <w:tabs>
                <w:tab w:val="decimal" w:pos="288"/>
              </w:tabs>
              <w:spacing w:after="0" w:line="240" w:lineRule="auto"/>
              <w:rPr>
                <w:rFonts w:ascii="Times New Roman" w:hAnsi="Times New Roman"/>
                <w:sz w:val="20"/>
                <w:szCs w:val="20"/>
              </w:rPr>
            </w:pPr>
            <w:r>
              <w:rPr>
                <w:rFonts w:ascii="Times New Roman" w:hAnsi="Times New Roman"/>
                <w:sz w:val="20"/>
                <w:szCs w:val="20"/>
              </w:rPr>
              <w:t>0.269</w:t>
            </w:r>
          </w:p>
        </w:tc>
        <w:tc>
          <w:tcPr>
            <w:tcW w:w="1160" w:type="dxa"/>
            <w:tcBorders>
              <w:top w:val="nil"/>
              <w:left w:val="nil"/>
              <w:bottom w:val="nil"/>
              <w:right w:val="nil"/>
            </w:tcBorders>
            <w:vAlign w:val="bottom"/>
          </w:tcPr>
          <w:p w14:paraId="66833B33" w14:textId="77777777" w:rsidR="00226BC6" w:rsidRPr="00103C39" w:rsidRDefault="00226BC6" w:rsidP="00226BC6">
            <w:pPr>
              <w:tabs>
                <w:tab w:val="decimal" w:pos="288"/>
              </w:tabs>
              <w:spacing w:after="0" w:line="240" w:lineRule="auto"/>
              <w:rPr>
                <w:rFonts w:ascii="Times New Roman" w:hAnsi="Times New Roman"/>
                <w:sz w:val="20"/>
                <w:szCs w:val="20"/>
              </w:rPr>
            </w:pPr>
            <w:r>
              <w:rPr>
                <w:rFonts w:ascii="Times New Roman" w:hAnsi="Times New Roman"/>
                <w:sz w:val="20"/>
                <w:szCs w:val="20"/>
              </w:rPr>
              <w:t>0.205</w:t>
            </w:r>
          </w:p>
        </w:tc>
      </w:tr>
      <w:tr w:rsidR="00226BC6" w:rsidRPr="00103C39" w14:paraId="3469CD90" w14:textId="77777777" w:rsidTr="007D794A">
        <w:trPr>
          <w:trHeight w:val="264"/>
        </w:trPr>
        <w:tc>
          <w:tcPr>
            <w:tcW w:w="2303" w:type="dxa"/>
            <w:tcBorders>
              <w:top w:val="nil"/>
              <w:left w:val="nil"/>
              <w:bottom w:val="nil"/>
              <w:right w:val="nil"/>
            </w:tcBorders>
            <w:noWrap/>
            <w:vAlign w:val="bottom"/>
            <w:hideMark/>
          </w:tcPr>
          <w:p w14:paraId="6120DD96" w14:textId="77777777" w:rsidR="00226BC6" w:rsidRPr="00103C39" w:rsidRDefault="00226BC6" w:rsidP="00226BC6">
            <w:pPr>
              <w:spacing w:after="0" w:line="240" w:lineRule="auto"/>
              <w:jc w:val="right"/>
              <w:rPr>
                <w:rFonts w:ascii="Times New Roman" w:hAnsi="Times New Roman"/>
                <w:sz w:val="20"/>
                <w:szCs w:val="20"/>
              </w:rPr>
            </w:pPr>
            <w:r w:rsidRPr="00103C39">
              <w:rPr>
                <w:rFonts w:ascii="Times New Roman" w:hAnsi="Times New Roman"/>
                <w:sz w:val="20"/>
                <w:szCs w:val="20"/>
              </w:rPr>
              <w:t>Asian</w:t>
            </w:r>
          </w:p>
        </w:tc>
        <w:tc>
          <w:tcPr>
            <w:tcW w:w="1208" w:type="dxa"/>
            <w:tcBorders>
              <w:top w:val="nil"/>
              <w:left w:val="nil"/>
              <w:bottom w:val="nil"/>
              <w:right w:val="nil"/>
            </w:tcBorders>
            <w:noWrap/>
            <w:vAlign w:val="bottom"/>
            <w:hideMark/>
          </w:tcPr>
          <w:p w14:paraId="44E1A8F2" w14:textId="77777777" w:rsidR="00226BC6" w:rsidRPr="00103C39" w:rsidRDefault="00226BC6" w:rsidP="00226BC6">
            <w:pPr>
              <w:tabs>
                <w:tab w:val="decimal" w:pos="360"/>
              </w:tabs>
              <w:spacing w:after="0" w:line="240" w:lineRule="auto"/>
              <w:rPr>
                <w:rFonts w:ascii="Times New Roman" w:hAnsi="Times New Roman"/>
                <w:sz w:val="20"/>
                <w:szCs w:val="20"/>
              </w:rPr>
            </w:pPr>
            <w:r w:rsidRPr="00103C39">
              <w:rPr>
                <w:rFonts w:ascii="Times New Roman" w:hAnsi="Times New Roman"/>
                <w:sz w:val="20"/>
                <w:szCs w:val="20"/>
              </w:rPr>
              <w:t>0.089</w:t>
            </w:r>
          </w:p>
        </w:tc>
        <w:tc>
          <w:tcPr>
            <w:tcW w:w="1208" w:type="dxa"/>
            <w:tcBorders>
              <w:top w:val="nil"/>
              <w:left w:val="nil"/>
              <w:bottom w:val="nil"/>
              <w:right w:val="nil"/>
            </w:tcBorders>
            <w:noWrap/>
            <w:vAlign w:val="bottom"/>
            <w:hideMark/>
          </w:tcPr>
          <w:p w14:paraId="201B2382" w14:textId="77777777" w:rsidR="00226BC6" w:rsidRPr="00103C39" w:rsidRDefault="00226BC6" w:rsidP="00226BC6">
            <w:pPr>
              <w:tabs>
                <w:tab w:val="decimal" w:pos="360"/>
              </w:tabs>
              <w:spacing w:after="0" w:line="240" w:lineRule="auto"/>
              <w:rPr>
                <w:rFonts w:ascii="Times New Roman" w:hAnsi="Times New Roman"/>
                <w:sz w:val="20"/>
                <w:szCs w:val="20"/>
              </w:rPr>
            </w:pPr>
            <w:r w:rsidRPr="00103C39">
              <w:rPr>
                <w:rFonts w:ascii="Times New Roman" w:hAnsi="Times New Roman"/>
                <w:sz w:val="20"/>
                <w:szCs w:val="20"/>
              </w:rPr>
              <w:t>0.129</w:t>
            </w:r>
          </w:p>
        </w:tc>
        <w:tc>
          <w:tcPr>
            <w:tcW w:w="1208" w:type="dxa"/>
            <w:tcBorders>
              <w:top w:val="nil"/>
              <w:left w:val="nil"/>
              <w:bottom w:val="nil"/>
              <w:right w:val="nil"/>
            </w:tcBorders>
            <w:noWrap/>
            <w:vAlign w:val="bottom"/>
            <w:hideMark/>
          </w:tcPr>
          <w:p w14:paraId="4C2DF2AA" w14:textId="77777777" w:rsidR="00226BC6" w:rsidRPr="00103C39" w:rsidRDefault="00226BC6" w:rsidP="00226BC6">
            <w:pPr>
              <w:tabs>
                <w:tab w:val="decimal" w:pos="288"/>
              </w:tabs>
              <w:spacing w:after="0" w:line="240" w:lineRule="auto"/>
              <w:rPr>
                <w:rFonts w:ascii="Times New Roman" w:hAnsi="Times New Roman"/>
                <w:sz w:val="20"/>
                <w:szCs w:val="20"/>
              </w:rPr>
            </w:pPr>
            <w:r>
              <w:rPr>
                <w:rFonts w:ascii="Times New Roman" w:hAnsi="Times New Roman"/>
                <w:sz w:val="20"/>
                <w:szCs w:val="20"/>
              </w:rPr>
              <w:t>0.092</w:t>
            </w:r>
          </w:p>
        </w:tc>
        <w:tc>
          <w:tcPr>
            <w:tcW w:w="1113" w:type="dxa"/>
            <w:tcBorders>
              <w:top w:val="nil"/>
              <w:left w:val="nil"/>
              <w:bottom w:val="nil"/>
              <w:right w:val="nil"/>
            </w:tcBorders>
            <w:vAlign w:val="bottom"/>
          </w:tcPr>
          <w:p w14:paraId="19C345B1" w14:textId="77777777" w:rsidR="00226BC6" w:rsidRPr="00103C39" w:rsidRDefault="00226BC6" w:rsidP="00226BC6">
            <w:pPr>
              <w:tabs>
                <w:tab w:val="decimal" w:pos="288"/>
              </w:tabs>
              <w:spacing w:after="0" w:line="240" w:lineRule="auto"/>
              <w:rPr>
                <w:rFonts w:ascii="Times New Roman" w:hAnsi="Times New Roman"/>
                <w:sz w:val="20"/>
                <w:szCs w:val="20"/>
              </w:rPr>
            </w:pPr>
            <w:r>
              <w:rPr>
                <w:rFonts w:ascii="Times New Roman" w:hAnsi="Times New Roman"/>
                <w:sz w:val="20"/>
                <w:szCs w:val="20"/>
              </w:rPr>
              <w:t>0.289</w:t>
            </w:r>
          </w:p>
        </w:tc>
        <w:tc>
          <w:tcPr>
            <w:tcW w:w="1160" w:type="dxa"/>
            <w:tcBorders>
              <w:top w:val="nil"/>
              <w:left w:val="nil"/>
              <w:bottom w:val="nil"/>
              <w:right w:val="nil"/>
            </w:tcBorders>
            <w:vAlign w:val="bottom"/>
          </w:tcPr>
          <w:p w14:paraId="73555A49" w14:textId="77777777" w:rsidR="00226BC6" w:rsidRPr="00103C39" w:rsidRDefault="00226BC6" w:rsidP="00226BC6">
            <w:pPr>
              <w:tabs>
                <w:tab w:val="decimal" w:pos="288"/>
              </w:tabs>
              <w:spacing w:after="0" w:line="240" w:lineRule="auto"/>
              <w:rPr>
                <w:rFonts w:ascii="Times New Roman" w:hAnsi="Times New Roman"/>
                <w:sz w:val="20"/>
                <w:szCs w:val="20"/>
              </w:rPr>
            </w:pPr>
            <w:r>
              <w:rPr>
                <w:rFonts w:ascii="Times New Roman" w:hAnsi="Times New Roman"/>
                <w:sz w:val="20"/>
                <w:szCs w:val="20"/>
              </w:rPr>
              <w:t>0.179</w:t>
            </w:r>
          </w:p>
        </w:tc>
        <w:tc>
          <w:tcPr>
            <w:tcW w:w="1160" w:type="dxa"/>
            <w:tcBorders>
              <w:top w:val="nil"/>
              <w:left w:val="nil"/>
              <w:bottom w:val="nil"/>
              <w:right w:val="nil"/>
            </w:tcBorders>
            <w:vAlign w:val="bottom"/>
          </w:tcPr>
          <w:p w14:paraId="2C758B32" w14:textId="77777777" w:rsidR="00226BC6" w:rsidRPr="00103C39" w:rsidRDefault="00226BC6" w:rsidP="00226BC6">
            <w:pPr>
              <w:tabs>
                <w:tab w:val="decimal" w:pos="288"/>
              </w:tabs>
              <w:spacing w:after="0" w:line="240" w:lineRule="auto"/>
              <w:rPr>
                <w:rFonts w:ascii="Times New Roman" w:hAnsi="Times New Roman"/>
                <w:sz w:val="20"/>
                <w:szCs w:val="20"/>
              </w:rPr>
            </w:pPr>
            <w:r>
              <w:rPr>
                <w:rFonts w:ascii="Times New Roman" w:hAnsi="Times New Roman"/>
                <w:sz w:val="20"/>
                <w:szCs w:val="20"/>
              </w:rPr>
              <w:t>0.265</w:t>
            </w:r>
          </w:p>
        </w:tc>
      </w:tr>
      <w:tr w:rsidR="00226BC6" w:rsidRPr="00103C39" w14:paraId="12A3B988" w14:textId="77777777" w:rsidTr="007D794A">
        <w:trPr>
          <w:trHeight w:val="264"/>
        </w:trPr>
        <w:tc>
          <w:tcPr>
            <w:tcW w:w="2303" w:type="dxa"/>
            <w:tcBorders>
              <w:top w:val="nil"/>
              <w:left w:val="nil"/>
              <w:bottom w:val="nil"/>
              <w:right w:val="nil"/>
            </w:tcBorders>
            <w:noWrap/>
            <w:vAlign w:val="bottom"/>
            <w:hideMark/>
          </w:tcPr>
          <w:p w14:paraId="59FFE354" w14:textId="77777777" w:rsidR="00226BC6" w:rsidRPr="00103C39" w:rsidRDefault="00226BC6" w:rsidP="00226BC6">
            <w:pPr>
              <w:spacing w:after="0" w:line="240" w:lineRule="auto"/>
              <w:jc w:val="right"/>
              <w:rPr>
                <w:rFonts w:ascii="Times New Roman" w:hAnsi="Times New Roman"/>
                <w:sz w:val="20"/>
                <w:szCs w:val="20"/>
              </w:rPr>
            </w:pPr>
            <w:r w:rsidRPr="00103C39">
              <w:rPr>
                <w:rFonts w:ascii="Times New Roman" w:hAnsi="Times New Roman"/>
                <w:sz w:val="20"/>
                <w:szCs w:val="20"/>
              </w:rPr>
              <w:t>Pacific Isl.</w:t>
            </w:r>
          </w:p>
        </w:tc>
        <w:tc>
          <w:tcPr>
            <w:tcW w:w="1208" w:type="dxa"/>
            <w:tcBorders>
              <w:top w:val="nil"/>
              <w:left w:val="nil"/>
              <w:bottom w:val="nil"/>
              <w:right w:val="nil"/>
            </w:tcBorders>
            <w:noWrap/>
            <w:vAlign w:val="bottom"/>
            <w:hideMark/>
          </w:tcPr>
          <w:p w14:paraId="48C0FB6F" w14:textId="77777777" w:rsidR="00226BC6" w:rsidRPr="00103C39" w:rsidRDefault="00226BC6" w:rsidP="00226BC6">
            <w:pPr>
              <w:tabs>
                <w:tab w:val="decimal" w:pos="360"/>
              </w:tabs>
              <w:spacing w:after="0" w:line="240" w:lineRule="auto"/>
              <w:rPr>
                <w:rFonts w:ascii="Times New Roman" w:hAnsi="Times New Roman"/>
                <w:sz w:val="20"/>
                <w:szCs w:val="20"/>
              </w:rPr>
            </w:pPr>
            <w:r w:rsidRPr="00103C39">
              <w:rPr>
                <w:rFonts w:ascii="Times New Roman" w:hAnsi="Times New Roman"/>
                <w:sz w:val="20"/>
                <w:szCs w:val="20"/>
              </w:rPr>
              <w:t>0.009</w:t>
            </w:r>
          </w:p>
        </w:tc>
        <w:tc>
          <w:tcPr>
            <w:tcW w:w="1208" w:type="dxa"/>
            <w:tcBorders>
              <w:top w:val="nil"/>
              <w:left w:val="nil"/>
              <w:bottom w:val="nil"/>
              <w:right w:val="nil"/>
            </w:tcBorders>
            <w:noWrap/>
            <w:vAlign w:val="bottom"/>
            <w:hideMark/>
          </w:tcPr>
          <w:p w14:paraId="2E7ABD13" w14:textId="77777777" w:rsidR="00226BC6" w:rsidRPr="00103C39" w:rsidRDefault="00226BC6" w:rsidP="00226BC6">
            <w:pPr>
              <w:tabs>
                <w:tab w:val="decimal" w:pos="360"/>
              </w:tabs>
              <w:spacing w:after="0" w:line="240" w:lineRule="auto"/>
              <w:rPr>
                <w:rFonts w:ascii="Times New Roman" w:hAnsi="Times New Roman"/>
                <w:sz w:val="20"/>
                <w:szCs w:val="20"/>
              </w:rPr>
            </w:pPr>
            <w:r w:rsidRPr="00103C39">
              <w:rPr>
                <w:rFonts w:ascii="Times New Roman" w:hAnsi="Times New Roman"/>
                <w:sz w:val="20"/>
                <w:szCs w:val="20"/>
              </w:rPr>
              <w:t>0.009</w:t>
            </w:r>
          </w:p>
        </w:tc>
        <w:tc>
          <w:tcPr>
            <w:tcW w:w="1208" w:type="dxa"/>
            <w:tcBorders>
              <w:top w:val="nil"/>
              <w:left w:val="nil"/>
              <w:bottom w:val="nil"/>
              <w:right w:val="nil"/>
            </w:tcBorders>
            <w:noWrap/>
            <w:vAlign w:val="bottom"/>
            <w:hideMark/>
          </w:tcPr>
          <w:p w14:paraId="35B43D06" w14:textId="77777777" w:rsidR="00226BC6" w:rsidRPr="00103C39" w:rsidRDefault="00226BC6" w:rsidP="00226BC6">
            <w:pPr>
              <w:tabs>
                <w:tab w:val="decimal" w:pos="288"/>
              </w:tabs>
              <w:spacing w:after="0" w:line="240" w:lineRule="auto"/>
              <w:rPr>
                <w:rFonts w:ascii="Times New Roman" w:hAnsi="Times New Roman"/>
                <w:sz w:val="20"/>
                <w:szCs w:val="20"/>
              </w:rPr>
            </w:pPr>
            <w:r>
              <w:rPr>
                <w:rFonts w:ascii="Times New Roman" w:hAnsi="Times New Roman"/>
                <w:sz w:val="20"/>
                <w:szCs w:val="20"/>
              </w:rPr>
              <w:t>0.010</w:t>
            </w:r>
          </w:p>
        </w:tc>
        <w:tc>
          <w:tcPr>
            <w:tcW w:w="1113" w:type="dxa"/>
            <w:tcBorders>
              <w:top w:val="nil"/>
              <w:left w:val="nil"/>
              <w:bottom w:val="nil"/>
              <w:right w:val="nil"/>
            </w:tcBorders>
            <w:vAlign w:val="bottom"/>
          </w:tcPr>
          <w:p w14:paraId="5E95CEB8" w14:textId="77777777" w:rsidR="00226BC6" w:rsidRPr="00103C39" w:rsidRDefault="00226BC6" w:rsidP="00226BC6">
            <w:pPr>
              <w:tabs>
                <w:tab w:val="decimal" w:pos="288"/>
              </w:tabs>
              <w:spacing w:after="0" w:line="240" w:lineRule="auto"/>
              <w:rPr>
                <w:rFonts w:ascii="Times New Roman" w:hAnsi="Times New Roman"/>
                <w:sz w:val="20"/>
                <w:szCs w:val="20"/>
              </w:rPr>
            </w:pPr>
            <w:r>
              <w:rPr>
                <w:rFonts w:ascii="Times New Roman" w:hAnsi="Times New Roman"/>
                <w:sz w:val="20"/>
                <w:szCs w:val="20"/>
              </w:rPr>
              <w:t>0.007</w:t>
            </w:r>
          </w:p>
        </w:tc>
        <w:tc>
          <w:tcPr>
            <w:tcW w:w="1160" w:type="dxa"/>
            <w:tcBorders>
              <w:top w:val="nil"/>
              <w:left w:val="nil"/>
              <w:bottom w:val="nil"/>
              <w:right w:val="nil"/>
            </w:tcBorders>
            <w:vAlign w:val="bottom"/>
          </w:tcPr>
          <w:p w14:paraId="342843E2" w14:textId="77777777" w:rsidR="00226BC6" w:rsidRPr="00103C39" w:rsidRDefault="00226BC6" w:rsidP="00226BC6">
            <w:pPr>
              <w:tabs>
                <w:tab w:val="decimal" w:pos="288"/>
              </w:tabs>
              <w:spacing w:after="0" w:line="240" w:lineRule="auto"/>
              <w:rPr>
                <w:rFonts w:ascii="Times New Roman" w:hAnsi="Times New Roman"/>
                <w:sz w:val="20"/>
                <w:szCs w:val="20"/>
              </w:rPr>
            </w:pPr>
            <w:r>
              <w:rPr>
                <w:rFonts w:ascii="Times New Roman" w:hAnsi="Times New Roman"/>
                <w:sz w:val="20"/>
                <w:szCs w:val="20"/>
              </w:rPr>
              <w:t>0.009</w:t>
            </w:r>
          </w:p>
        </w:tc>
        <w:tc>
          <w:tcPr>
            <w:tcW w:w="1160" w:type="dxa"/>
            <w:tcBorders>
              <w:top w:val="nil"/>
              <w:left w:val="nil"/>
              <w:bottom w:val="nil"/>
              <w:right w:val="nil"/>
            </w:tcBorders>
            <w:vAlign w:val="bottom"/>
          </w:tcPr>
          <w:p w14:paraId="07C1032E" w14:textId="77777777" w:rsidR="00226BC6" w:rsidRPr="00103C39" w:rsidRDefault="00226BC6" w:rsidP="00226BC6">
            <w:pPr>
              <w:tabs>
                <w:tab w:val="decimal" w:pos="288"/>
              </w:tabs>
              <w:spacing w:after="0" w:line="240" w:lineRule="auto"/>
              <w:rPr>
                <w:rFonts w:ascii="Times New Roman" w:hAnsi="Times New Roman"/>
                <w:sz w:val="20"/>
                <w:szCs w:val="20"/>
              </w:rPr>
            </w:pPr>
            <w:r>
              <w:rPr>
                <w:rFonts w:ascii="Times New Roman" w:hAnsi="Times New Roman"/>
                <w:sz w:val="20"/>
                <w:szCs w:val="20"/>
              </w:rPr>
              <w:t>0.008</w:t>
            </w:r>
          </w:p>
        </w:tc>
      </w:tr>
      <w:tr w:rsidR="00226BC6" w:rsidRPr="00103C39" w14:paraId="1FDCA1EB" w14:textId="77777777" w:rsidTr="007D794A">
        <w:trPr>
          <w:trHeight w:val="264"/>
        </w:trPr>
        <w:tc>
          <w:tcPr>
            <w:tcW w:w="2303" w:type="dxa"/>
            <w:tcBorders>
              <w:top w:val="nil"/>
              <w:left w:val="nil"/>
              <w:bottom w:val="nil"/>
              <w:right w:val="nil"/>
            </w:tcBorders>
            <w:noWrap/>
            <w:vAlign w:val="bottom"/>
            <w:hideMark/>
          </w:tcPr>
          <w:p w14:paraId="2E114444" w14:textId="77777777" w:rsidR="00226BC6" w:rsidRPr="00103C39" w:rsidRDefault="00226BC6" w:rsidP="00226BC6">
            <w:pPr>
              <w:spacing w:after="0" w:line="240" w:lineRule="auto"/>
              <w:jc w:val="right"/>
              <w:rPr>
                <w:rFonts w:ascii="Times New Roman" w:hAnsi="Times New Roman"/>
                <w:sz w:val="20"/>
                <w:szCs w:val="20"/>
              </w:rPr>
            </w:pPr>
            <w:r w:rsidRPr="00103C39">
              <w:rPr>
                <w:rFonts w:ascii="Times New Roman" w:hAnsi="Times New Roman"/>
                <w:sz w:val="20"/>
                <w:szCs w:val="20"/>
              </w:rPr>
              <w:t>Filipino</w:t>
            </w:r>
          </w:p>
        </w:tc>
        <w:tc>
          <w:tcPr>
            <w:tcW w:w="1208" w:type="dxa"/>
            <w:tcBorders>
              <w:top w:val="nil"/>
              <w:left w:val="nil"/>
              <w:bottom w:val="nil"/>
              <w:right w:val="nil"/>
            </w:tcBorders>
            <w:noWrap/>
            <w:vAlign w:val="bottom"/>
            <w:hideMark/>
          </w:tcPr>
          <w:p w14:paraId="67749E79" w14:textId="77777777" w:rsidR="00226BC6" w:rsidRPr="00103C39" w:rsidRDefault="00226BC6" w:rsidP="00226BC6">
            <w:pPr>
              <w:tabs>
                <w:tab w:val="decimal" w:pos="360"/>
              </w:tabs>
              <w:spacing w:after="0" w:line="240" w:lineRule="auto"/>
              <w:rPr>
                <w:rFonts w:ascii="Times New Roman" w:hAnsi="Times New Roman"/>
                <w:sz w:val="20"/>
                <w:szCs w:val="20"/>
              </w:rPr>
            </w:pPr>
            <w:r w:rsidRPr="00103C39">
              <w:rPr>
                <w:rFonts w:ascii="Times New Roman" w:hAnsi="Times New Roman"/>
                <w:sz w:val="20"/>
                <w:szCs w:val="20"/>
              </w:rPr>
              <w:t>0.032</w:t>
            </w:r>
          </w:p>
        </w:tc>
        <w:tc>
          <w:tcPr>
            <w:tcW w:w="1208" w:type="dxa"/>
            <w:tcBorders>
              <w:top w:val="nil"/>
              <w:left w:val="nil"/>
              <w:bottom w:val="nil"/>
              <w:right w:val="nil"/>
            </w:tcBorders>
            <w:noWrap/>
            <w:vAlign w:val="bottom"/>
            <w:hideMark/>
          </w:tcPr>
          <w:p w14:paraId="7FF06384" w14:textId="77777777" w:rsidR="00226BC6" w:rsidRPr="00103C39" w:rsidRDefault="00226BC6" w:rsidP="00226BC6">
            <w:pPr>
              <w:tabs>
                <w:tab w:val="decimal" w:pos="360"/>
              </w:tabs>
              <w:spacing w:after="0" w:line="240" w:lineRule="auto"/>
              <w:rPr>
                <w:rFonts w:ascii="Times New Roman" w:hAnsi="Times New Roman"/>
                <w:sz w:val="20"/>
                <w:szCs w:val="20"/>
              </w:rPr>
            </w:pPr>
            <w:r w:rsidRPr="00103C39">
              <w:rPr>
                <w:rFonts w:ascii="Times New Roman" w:hAnsi="Times New Roman"/>
                <w:sz w:val="20"/>
                <w:szCs w:val="20"/>
              </w:rPr>
              <w:t>0.048</w:t>
            </w:r>
          </w:p>
        </w:tc>
        <w:tc>
          <w:tcPr>
            <w:tcW w:w="1208" w:type="dxa"/>
            <w:tcBorders>
              <w:top w:val="nil"/>
              <w:left w:val="nil"/>
              <w:bottom w:val="nil"/>
              <w:right w:val="nil"/>
            </w:tcBorders>
            <w:noWrap/>
            <w:vAlign w:val="bottom"/>
            <w:hideMark/>
          </w:tcPr>
          <w:p w14:paraId="4426BDCF" w14:textId="77777777" w:rsidR="00226BC6" w:rsidRPr="00103C39" w:rsidRDefault="00226BC6" w:rsidP="00226BC6">
            <w:pPr>
              <w:tabs>
                <w:tab w:val="decimal" w:pos="288"/>
              </w:tabs>
              <w:spacing w:after="0" w:line="240" w:lineRule="auto"/>
              <w:rPr>
                <w:rFonts w:ascii="Times New Roman" w:hAnsi="Times New Roman"/>
                <w:sz w:val="20"/>
                <w:szCs w:val="20"/>
              </w:rPr>
            </w:pPr>
            <w:r>
              <w:rPr>
                <w:rFonts w:ascii="Times New Roman" w:hAnsi="Times New Roman"/>
                <w:sz w:val="20"/>
                <w:szCs w:val="20"/>
              </w:rPr>
              <w:t>0.040</w:t>
            </w:r>
          </w:p>
        </w:tc>
        <w:tc>
          <w:tcPr>
            <w:tcW w:w="1113" w:type="dxa"/>
            <w:tcBorders>
              <w:top w:val="nil"/>
              <w:left w:val="nil"/>
              <w:bottom w:val="nil"/>
              <w:right w:val="nil"/>
            </w:tcBorders>
            <w:vAlign w:val="bottom"/>
          </w:tcPr>
          <w:p w14:paraId="1D4C759C" w14:textId="77777777" w:rsidR="00226BC6" w:rsidRPr="00103C39" w:rsidRDefault="00226BC6" w:rsidP="00226BC6">
            <w:pPr>
              <w:tabs>
                <w:tab w:val="decimal" w:pos="288"/>
              </w:tabs>
              <w:spacing w:after="0" w:line="240" w:lineRule="auto"/>
              <w:rPr>
                <w:rFonts w:ascii="Times New Roman" w:hAnsi="Times New Roman"/>
                <w:sz w:val="20"/>
                <w:szCs w:val="20"/>
              </w:rPr>
            </w:pPr>
            <w:r>
              <w:rPr>
                <w:rFonts w:ascii="Times New Roman" w:hAnsi="Times New Roman"/>
                <w:sz w:val="20"/>
                <w:szCs w:val="20"/>
              </w:rPr>
              <w:t>0.047</w:t>
            </w:r>
          </w:p>
        </w:tc>
        <w:tc>
          <w:tcPr>
            <w:tcW w:w="1160" w:type="dxa"/>
            <w:tcBorders>
              <w:top w:val="nil"/>
              <w:left w:val="nil"/>
              <w:bottom w:val="nil"/>
              <w:right w:val="nil"/>
            </w:tcBorders>
            <w:vAlign w:val="bottom"/>
          </w:tcPr>
          <w:p w14:paraId="1948991F" w14:textId="77777777" w:rsidR="00226BC6" w:rsidRPr="00103C39" w:rsidRDefault="00226BC6" w:rsidP="00226BC6">
            <w:pPr>
              <w:tabs>
                <w:tab w:val="decimal" w:pos="288"/>
              </w:tabs>
              <w:spacing w:after="0" w:line="240" w:lineRule="auto"/>
              <w:rPr>
                <w:rFonts w:ascii="Times New Roman" w:hAnsi="Times New Roman"/>
                <w:sz w:val="20"/>
                <w:szCs w:val="20"/>
              </w:rPr>
            </w:pPr>
            <w:r>
              <w:rPr>
                <w:rFonts w:ascii="Times New Roman" w:hAnsi="Times New Roman"/>
                <w:sz w:val="20"/>
                <w:szCs w:val="20"/>
              </w:rPr>
              <w:t>0.082</w:t>
            </w:r>
          </w:p>
        </w:tc>
        <w:tc>
          <w:tcPr>
            <w:tcW w:w="1160" w:type="dxa"/>
            <w:tcBorders>
              <w:top w:val="nil"/>
              <w:left w:val="nil"/>
              <w:bottom w:val="nil"/>
              <w:right w:val="nil"/>
            </w:tcBorders>
            <w:vAlign w:val="bottom"/>
          </w:tcPr>
          <w:p w14:paraId="1126FDA0" w14:textId="77777777" w:rsidR="00226BC6" w:rsidRPr="00103C39" w:rsidRDefault="00226BC6" w:rsidP="00226BC6">
            <w:pPr>
              <w:tabs>
                <w:tab w:val="decimal" w:pos="288"/>
              </w:tabs>
              <w:spacing w:after="0" w:line="240" w:lineRule="auto"/>
              <w:rPr>
                <w:rFonts w:ascii="Times New Roman" w:hAnsi="Times New Roman"/>
                <w:sz w:val="20"/>
                <w:szCs w:val="20"/>
              </w:rPr>
            </w:pPr>
            <w:r>
              <w:rPr>
                <w:rFonts w:ascii="Times New Roman" w:hAnsi="Times New Roman"/>
                <w:sz w:val="20"/>
                <w:szCs w:val="20"/>
              </w:rPr>
              <w:t>0.050</w:t>
            </w:r>
          </w:p>
        </w:tc>
      </w:tr>
      <w:tr w:rsidR="00226BC6" w:rsidRPr="00103C39" w14:paraId="772CF6BF" w14:textId="77777777" w:rsidTr="007D794A">
        <w:trPr>
          <w:trHeight w:val="264"/>
        </w:trPr>
        <w:tc>
          <w:tcPr>
            <w:tcW w:w="2303" w:type="dxa"/>
            <w:tcBorders>
              <w:top w:val="nil"/>
              <w:left w:val="nil"/>
              <w:bottom w:val="nil"/>
              <w:right w:val="nil"/>
            </w:tcBorders>
            <w:noWrap/>
            <w:vAlign w:val="bottom"/>
            <w:hideMark/>
          </w:tcPr>
          <w:p w14:paraId="6E3C7016" w14:textId="77777777" w:rsidR="00226BC6" w:rsidRPr="00103C39" w:rsidRDefault="00226BC6" w:rsidP="00226BC6">
            <w:pPr>
              <w:spacing w:after="0" w:line="240" w:lineRule="auto"/>
              <w:jc w:val="right"/>
              <w:rPr>
                <w:rFonts w:ascii="Times New Roman" w:hAnsi="Times New Roman"/>
                <w:sz w:val="20"/>
                <w:szCs w:val="20"/>
              </w:rPr>
            </w:pPr>
            <w:r w:rsidRPr="00103C39">
              <w:rPr>
                <w:rFonts w:ascii="Times New Roman" w:hAnsi="Times New Roman"/>
                <w:sz w:val="20"/>
                <w:szCs w:val="20"/>
              </w:rPr>
              <w:t>Native Amer.</w:t>
            </w:r>
          </w:p>
        </w:tc>
        <w:tc>
          <w:tcPr>
            <w:tcW w:w="1208" w:type="dxa"/>
            <w:tcBorders>
              <w:top w:val="nil"/>
              <w:left w:val="nil"/>
              <w:bottom w:val="nil"/>
              <w:right w:val="nil"/>
            </w:tcBorders>
            <w:noWrap/>
            <w:vAlign w:val="bottom"/>
            <w:hideMark/>
          </w:tcPr>
          <w:p w14:paraId="1FA4F348" w14:textId="77777777" w:rsidR="00226BC6" w:rsidRPr="00103C39" w:rsidRDefault="00226BC6" w:rsidP="00226BC6">
            <w:pPr>
              <w:tabs>
                <w:tab w:val="decimal" w:pos="360"/>
              </w:tabs>
              <w:spacing w:after="0" w:line="240" w:lineRule="auto"/>
              <w:rPr>
                <w:rFonts w:ascii="Times New Roman" w:hAnsi="Times New Roman"/>
                <w:sz w:val="20"/>
                <w:szCs w:val="20"/>
              </w:rPr>
            </w:pPr>
            <w:r w:rsidRPr="00103C39">
              <w:rPr>
                <w:rFonts w:ascii="Times New Roman" w:hAnsi="Times New Roman"/>
                <w:sz w:val="20"/>
                <w:szCs w:val="20"/>
              </w:rPr>
              <w:t>0.011</w:t>
            </w:r>
          </w:p>
        </w:tc>
        <w:tc>
          <w:tcPr>
            <w:tcW w:w="1208" w:type="dxa"/>
            <w:tcBorders>
              <w:top w:val="nil"/>
              <w:left w:val="nil"/>
              <w:bottom w:val="nil"/>
              <w:right w:val="nil"/>
            </w:tcBorders>
            <w:noWrap/>
            <w:vAlign w:val="bottom"/>
            <w:hideMark/>
          </w:tcPr>
          <w:p w14:paraId="1615CB3B" w14:textId="77777777" w:rsidR="00226BC6" w:rsidRPr="00103C39" w:rsidRDefault="00226BC6" w:rsidP="00226BC6">
            <w:pPr>
              <w:tabs>
                <w:tab w:val="decimal" w:pos="360"/>
              </w:tabs>
              <w:spacing w:after="0" w:line="240" w:lineRule="auto"/>
              <w:rPr>
                <w:rFonts w:ascii="Times New Roman" w:hAnsi="Times New Roman"/>
                <w:sz w:val="20"/>
                <w:szCs w:val="20"/>
              </w:rPr>
            </w:pPr>
            <w:r w:rsidRPr="00103C39">
              <w:rPr>
                <w:rFonts w:ascii="Times New Roman" w:hAnsi="Times New Roman"/>
                <w:sz w:val="20"/>
                <w:szCs w:val="20"/>
              </w:rPr>
              <w:t>0.008</w:t>
            </w:r>
          </w:p>
        </w:tc>
        <w:tc>
          <w:tcPr>
            <w:tcW w:w="1208" w:type="dxa"/>
            <w:tcBorders>
              <w:top w:val="nil"/>
              <w:left w:val="nil"/>
              <w:bottom w:val="nil"/>
              <w:right w:val="nil"/>
            </w:tcBorders>
            <w:noWrap/>
            <w:vAlign w:val="bottom"/>
            <w:hideMark/>
          </w:tcPr>
          <w:p w14:paraId="5D224124" w14:textId="77777777" w:rsidR="00226BC6" w:rsidRPr="00103C39" w:rsidRDefault="00226BC6" w:rsidP="00226BC6">
            <w:pPr>
              <w:tabs>
                <w:tab w:val="decimal" w:pos="288"/>
              </w:tabs>
              <w:spacing w:after="0" w:line="240" w:lineRule="auto"/>
              <w:rPr>
                <w:rFonts w:ascii="Times New Roman" w:hAnsi="Times New Roman"/>
                <w:sz w:val="20"/>
                <w:szCs w:val="20"/>
              </w:rPr>
            </w:pPr>
            <w:r>
              <w:rPr>
                <w:rFonts w:ascii="Times New Roman" w:hAnsi="Times New Roman"/>
                <w:sz w:val="20"/>
                <w:szCs w:val="20"/>
              </w:rPr>
              <w:t>0.010</w:t>
            </w:r>
          </w:p>
        </w:tc>
        <w:tc>
          <w:tcPr>
            <w:tcW w:w="1113" w:type="dxa"/>
            <w:tcBorders>
              <w:top w:val="nil"/>
              <w:left w:val="nil"/>
              <w:bottom w:val="nil"/>
              <w:right w:val="nil"/>
            </w:tcBorders>
            <w:vAlign w:val="bottom"/>
          </w:tcPr>
          <w:p w14:paraId="0629F074" w14:textId="77777777" w:rsidR="00226BC6" w:rsidRPr="00103C39" w:rsidRDefault="00226BC6" w:rsidP="00226BC6">
            <w:pPr>
              <w:tabs>
                <w:tab w:val="decimal" w:pos="288"/>
              </w:tabs>
              <w:spacing w:after="0" w:line="240" w:lineRule="auto"/>
              <w:rPr>
                <w:rFonts w:ascii="Times New Roman" w:hAnsi="Times New Roman"/>
                <w:sz w:val="20"/>
                <w:szCs w:val="20"/>
              </w:rPr>
            </w:pPr>
            <w:r>
              <w:rPr>
                <w:rFonts w:ascii="Times New Roman" w:hAnsi="Times New Roman"/>
                <w:sz w:val="20"/>
                <w:szCs w:val="20"/>
              </w:rPr>
              <w:t>0.005</w:t>
            </w:r>
          </w:p>
        </w:tc>
        <w:tc>
          <w:tcPr>
            <w:tcW w:w="1160" w:type="dxa"/>
            <w:tcBorders>
              <w:top w:val="nil"/>
              <w:left w:val="nil"/>
              <w:bottom w:val="nil"/>
              <w:right w:val="nil"/>
            </w:tcBorders>
            <w:vAlign w:val="bottom"/>
          </w:tcPr>
          <w:p w14:paraId="11FA349C" w14:textId="77777777" w:rsidR="00226BC6" w:rsidRPr="00103C39" w:rsidRDefault="00226BC6" w:rsidP="00226BC6">
            <w:pPr>
              <w:tabs>
                <w:tab w:val="decimal" w:pos="288"/>
              </w:tabs>
              <w:spacing w:after="0" w:line="240" w:lineRule="auto"/>
              <w:rPr>
                <w:rFonts w:ascii="Times New Roman" w:hAnsi="Times New Roman"/>
                <w:sz w:val="20"/>
                <w:szCs w:val="20"/>
              </w:rPr>
            </w:pPr>
            <w:r>
              <w:rPr>
                <w:rFonts w:ascii="Times New Roman" w:hAnsi="Times New Roman"/>
                <w:sz w:val="20"/>
                <w:szCs w:val="20"/>
              </w:rPr>
              <w:t>0.007</w:t>
            </w:r>
          </w:p>
        </w:tc>
        <w:tc>
          <w:tcPr>
            <w:tcW w:w="1160" w:type="dxa"/>
            <w:tcBorders>
              <w:top w:val="nil"/>
              <w:left w:val="nil"/>
              <w:bottom w:val="nil"/>
              <w:right w:val="nil"/>
            </w:tcBorders>
            <w:vAlign w:val="bottom"/>
          </w:tcPr>
          <w:p w14:paraId="46C10D6D" w14:textId="77777777" w:rsidR="00226BC6" w:rsidRPr="00103C39" w:rsidRDefault="00226BC6" w:rsidP="00226BC6">
            <w:pPr>
              <w:tabs>
                <w:tab w:val="decimal" w:pos="288"/>
              </w:tabs>
              <w:spacing w:after="0" w:line="240" w:lineRule="auto"/>
              <w:rPr>
                <w:rFonts w:ascii="Times New Roman" w:hAnsi="Times New Roman"/>
                <w:sz w:val="20"/>
                <w:szCs w:val="20"/>
              </w:rPr>
            </w:pPr>
            <w:r>
              <w:rPr>
                <w:rFonts w:ascii="Times New Roman" w:hAnsi="Times New Roman"/>
                <w:sz w:val="20"/>
                <w:szCs w:val="20"/>
              </w:rPr>
              <w:t>0.005</w:t>
            </w:r>
          </w:p>
        </w:tc>
      </w:tr>
      <w:tr w:rsidR="00226BC6" w:rsidRPr="00103C39" w14:paraId="4CBBA667" w14:textId="77777777" w:rsidTr="007D794A">
        <w:trPr>
          <w:trHeight w:val="264"/>
        </w:trPr>
        <w:tc>
          <w:tcPr>
            <w:tcW w:w="2303" w:type="dxa"/>
            <w:tcBorders>
              <w:top w:val="nil"/>
              <w:left w:val="nil"/>
              <w:bottom w:val="nil"/>
              <w:right w:val="nil"/>
            </w:tcBorders>
            <w:noWrap/>
            <w:vAlign w:val="bottom"/>
            <w:hideMark/>
          </w:tcPr>
          <w:p w14:paraId="1302E9A9" w14:textId="77777777" w:rsidR="00226BC6" w:rsidRPr="00103C39" w:rsidRDefault="00226BC6" w:rsidP="00226BC6">
            <w:pPr>
              <w:spacing w:after="0" w:line="240" w:lineRule="auto"/>
              <w:jc w:val="right"/>
              <w:rPr>
                <w:rFonts w:ascii="Times New Roman" w:hAnsi="Times New Roman"/>
                <w:sz w:val="20"/>
                <w:szCs w:val="20"/>
              </w:rPr>
            </w:pPr>
            <w:r w:rsidRPr="00103C39">
              <w:rPr>
                <w:rFonts w:ascii="Times New Roman" w:hAnsi="Times New Roman"/>
                <w:sz w:val="20"/>
                <w:szCs w:val="20"/>
              </w:rPr>
              <w:t>missing</w:t>
            </w:r>
          </w:p>
        </w:tc>
        <w:tc>
          <w:tcPr>
            <w:tcW w:w="1208" w:type="dxa"/>
            <w:tcBorders>
              <w:top w:val="nil"/>
              <w:left w:val="nil"/>
              <w:bottom w:val="nil"/>
              <w:right w:val="nil"/>
            </w:tcBorders>
            <w:noWrap/>
            <w:vAlign w:val="bottom"/>
            <w:hideMark/>
          </w:tcPr>
          <w:p w14:paraId="71CABE00" w14:textId="77777777" w:rsidR="00226BC6" w:rsidRPr="00103C39" w:rsidRDefault="00226BC6" w:rsidP="00226BC6">
            <w:pPr>
              <w:tabs>
                <w:tab w:val="decimal" w:pos="360"/>
              </w:tabs>
              <w:spacing w:after="0" w:line="240" w:lineRule="auto"/>
              <w:rPr>
                <w:rFonts w:ascii="Times New Roman" w:hAnsi="Times New Roman"/>
                <w:sz w:val="20"/>
                <w:szCs w:val="20"/>
              </w:rPr>
            </w:pPr>
            <w:r w:rsidRPr="00103C39">
              <w:rPr>
                <w:rFonts w:ascii="Times New Roman" w:hAnsi="Times New Roman"/>
                <w:sz w:val="20"/>
                <w:szCs w:val="20"/>
              </w:rPr>
              <w:t>0.051</w:t>
            </w:r>
          </w:p>
        </w:tc>
        <w:tc>
          <w:tcPr>
            <w:tcW w:w="1208" w:type="dxa"/>
            <w:tcBorders>
              <w:top w:val="nil"/>
              <w:left w:val="nil"/>
              <w:bottom w:val="nil"/>
              <w:right w:val="nil"/>
            </w:tcBorders>
            <w:noWrap/>
            <w:vAlign w:val="bottom"/>
            <w:hideMark/>
          </w:tcPr>
          <w:p w14:paraId="09E7FC64" w14:textId="77777777" w:rsidR="00226BC6" w:rsidRPr="00103C39" w:rsidRDefault="00226BC6" w:rsidP="00226BC6">
            <w:pPr>
              <w:tabs>
                <w:tab w:val="decimal" w:pos="360"/>
              </w:tabs>
              <w:spacing w:after="0" w:line="240" w:lineRule="auto"/>
              <w:rPr>
                <w:rFonts w:ascii="Times New Roman" w:hAnsi="Times New Roman"/>
                <w:sz w:val="20"/>
                <w:szCs w:val="20"/>
              </w:rPr>
            </w:pPr>
            <w:r w:rsidRPr="00103C39">
              <w:rPr>
                <w:rFonts w:ascii="Times New Roman" w:hAnsi="Times New Roman"/>
                <w:sz w:val="20"/>
                <w:szCs w:val="20"/>
              </w:rPr>
              <w:t>0.038</w:t>
            </w:r>
          </w:p>
        </w:tc>
        <w:tc>
          <w:tcPr>
            <w:tcW w:w="1208" w:type="dxa"/>
            <w:tcBorders>
              <w:top w:val="nil"/>
              <w:left w:val="nil"/>
              <w:bottom w:val="nil"/>
              <w:right w:val="nil"/>
            </w:tcBorders>
            <w:noWrap/>
            <w:vAlign w:val="bottom"/>
            <w:hideMark/>
          </w:tcPr>
          <w:p w14:paraId="23CA3B82" w14:textId="77777777" w:rsidR="00226BC6" w:rsidRPr="00103C39" w:rsidRDefault="00226BC6" w:rsidP="00226BC6">
            <w:pPr>
              <w:tabs>
                <w:tab w:val="decimal" w:pos="288"/>
              </w:tabs>
              <w:spacing w:after="0" w:line="240" w:lineRule="auto"/>
              <w:rPr>
                <w:rFonts w:ascii="Times New Roman" w:hAnsi="Times New Roman"/>
                <w:sz w:val="20"/>
                <w:szCs w:val="20"/>
              </w:rPr>
            </w:pPr>
            <w:r>
              <w:rPr>
                <w:rFonts w:ascii="Times New Roman" w:hAnsi="Times New Roman"/>
                <w:sz w:val="20"/>
                <w:szCs w:val="20"/>
              </w:rPr>
              <w:t>0.040</w:t>
            </w:r>
          </w:p>
        </w:tc>
        <w:tc>
          <w:tcPr>
            <w:tcW w:w="1113" w:type="dxa"/>
            <w:tcBorders>
              <w:top w:val="nil"/>
              <w:left w:val="nil"/>
              <w:bottom w:val="nil"/>
              <w:right w:val="nil"/>
            </w:tcBorders>
            <w:vAlign w:val="bottom"/>
          </w:tcPr>
          <w:p w14:paraId="2059A007" w14:textId="77777777" w:rsidR="00226BC6" w:rsidRPr="00103C39" w:rsidRDefault="00226BC6" w:rsidP="00226BC6">
            <w:pPr>
              <w:tabs>
                <w:tab w:val="decimal" w:pos="288"/>
              </w:tabs>
              <w:spacing w:after="0" w:line="240" w:lineRule="auto"/>
              <w:rPr>
                <w:rFonts w:ascii="Times New Roman" w:hAnsi="Times New Roman"/>
                <w:sz w:val="20"/>
                <w:szCs w:val="20"/>
              </w:rPr>
            </w:pPr>
            <w:r>
              <w:rPr>
                <w:rFonts w:ascii="Times New Roman" w:hAnsi="Times New Roman"/>
                <w:sz w:val="20"/>
                <w:szCs w:val="20"/>
              </w:rPr>
              <w:t>0.041</w:t>
            </w:r>
          </w:p>
        </w:tc>
        <w:tc>
          <w:tcPr>
            <w:tcW w:w="1160" w:type="dxa"/>
            <w:tcBorders>
              <w:top w:val="nil"/>
              <w:left w:val="nil"/>
              <w:bottom w:val="nil"/>
              <w:right w:val="nil"/>
            </w:tcBorders>
            <w:vAlign w:val="bottom"/>
          </w:tcPr>
          <w:p w14:paraId="295CF00E" w14:textId="77777777" w:rsidR="00226BC6" w:rsidRPr="00103C39" w:rsidRDefault="00226BC6" w:rsidP="00226BC6">
            <w:pPr>
              <w:tabs>
                <w:tab w:val="decimal" w:pos="288"/>
              </w:tabs>
              <w:spacing w:after="0" w:line="240" w:lineRule="auto"/>
              <w:rPr>
                <w:rFonts w:ascii="Times New Roman" w:hAnsi="Times New Roman"/>
                <w:sz w:val="20"/>
                <w:szCs w:val="20"/>
              </w:rPr>
            </w:pPr>
            <w:r>
              <w:rPr>
                <w:rFonts w:ascii="Times New Roman" w:hAnsi="Times New Roman"/>
                <w:sz w:val="20"/>
                <w:szCs w:val="20"/>
              </w:rPr>
              <w:t>0.031</w:t>
            </w:r>
          </w:p>
        </w:tc>
        <w:tc>
          <w:tcPr>
            <w:tcW w:w="1160" w:type="dxa"/>
            <w:tcBorders>
              <w:top w:val="nil"/>
              <w:left w:val="nil"/>
              <w:bottom w:val="nil"/>
              <w:right w:val="nil"/>
            </w:tcBorders>
            <w:vAlign w:val="bottom"/>
          </w:tcPr>
          <w:p w14:paraId="6D7215CF" w14:textId="77777777" w:rsidR="00226BC6" w:rsidRPr="00103C39" w:rsidRDefault="00226BC6" w:rsidP="00226BC6">
            <w:pPr>
              <w:tabs>
                <w:tab w:val="decimal" w:pos="288"/>
              </w:tabs>
              <w:spacing w:after="0" w:line="240" w:lineRule="auto"/>
              <w:rPr>
                <w:rFonts w:ascii="Times New Roman" w:hAnsi="Times New Roman"/>
                <w:sz w:val="20"/>
                <w:szCs w:val="20"/>
              </w:rPr>
            </w:pPr>
            <w:r>
              <w:rPr>
                <w:rFonts w:ascii="Times New Roman" w:hAnsi="Times New Roman"/>
                <w:sz w:val="20"/>
                <w:szCs w:val="20"/>
              </w:rPr>
              <w:t>0.042</w:t>
            </w:r>
          </w:p>
        </w:tc>
      </w:tr>
      <w:tr w:rsidR="00226BC6" w:rsidRPr="00103C39" w14:paraId="109D49F7" w14:textId="77777777" w:rsidTr="007D794A">
        <w:trPr>
          <w:trHeight w:val="264"/>
        </w:trPr>
        <w:tc>
          <w:tcPr>
            <w:tcW w:w="2303" w:type="dxa"/>
            <w:tcBorders>
              <w:top w:val="nil"/>
              <w:left w:val="nil"/>
              <w:bottom w:val="nil"/>
              <w:right w:val="nil"/>
            </w:tcBorders>
            <w:noWrap/>
            <w:vAlign w:val="bottom"/>
            <w:hideMark/>
          </w:tcPr>
          <w:p w14:paraId="55EB8F2A" w14:textId="77777777" w:rsidR="00226BC6" w:rsidRPr="00103C39" w:rsidRDefault="00226BC6" w:rsidP="00226BC6">
            <w:pPr>
              <w:spacing w:after="0" w:line="240" w:lineRule="auto"/>
              <w:rPr>
                <w:rFonts w:ascii="Times New Roman" w:hAnsi="Times New Roman"/>
                <w:b/>
                <w:bCs/>
                <w:sz w:val="20"/>
                <w:szCs w:val="20"/>
              </w:rPr>
            </w:pPr>
          </w:p>
        </w:tc>
        <w:tc>
          <w:tcPr>
            <w:tcW w:w="1208" w:type="dxa"/>
            <w:tcBorders>
              <w:top w:val="nil"/>
              <w:left w:val="nil"/>
              <w:bottom w:val="nil"/>
              <w:right w:val="nil"/>
            </w:tcBorders>
            <w:noWrap/>
            <w:vAlign w:val="bottom"/>
            <w:hideMark/>
          </w:tcPr>
          <w:p w14:paraId="48E01E9E" w14:textId="77777777" w:rsidR="00226BC6" w:rsidRPr="00103C39" w:rsidRDefault="00226BC6" w:rsidP="00226BC6">
            <w:pPr>
              <w:tabs>
                <w:tab w:val="decimal" w:pos="360"/>
              </w:tabs>
              <w:spacing w:after="0" w:line="240" w:lineRule="auto"/>
              <w:rPr>
                <w:rFonts w:ascii="Times New Roman" w:hAnsi="Times New Roman"/>
                <w:sz w:val="20"/>
                <w:szCs w:val="20"/>
              </w:rPr>
            </w:pPr>
          </w:p>
        </w:tc>
        <w:tc>
          <w:tcPr>
            <w:tcW w:w="1208" w:type="dxa"/>
            <w:tcBorders>
              <w:top w:val="nil"/>
              <w:left w:val="nil"/>
              <w:bottom w:val="nil"/>
              <w:right w:val="nil"/>
            </w:tcBorders>
            <w:noWrap/>
            <w:vAlign w:val="bottom"/>
            <w:hideMark/>
          </w:tcPr>
          <w:p w14:paraId="59035D80" w14:textId="77777777" w:rsidR="00226BC6" w:rsidRPr="00103C39" w:rsidRDefault="00226BC6" w:rsidP="00226BC6">
            <w:pPr>
              <w:tabs>
                <w:tab w:val="decimal" w:pos="360"/>
              </w:tabs>
              <w:spacing w:after="0" w:line="240" w:lineRule="auto"/>
              <w:rPr>
                <w:rFonts w:ascii="Times New Roman" w:hAnsi="Times New Roman"/>
                <w:sz w:val="20"/>
                <w:szCs w:val="20"/>
              </w:rPr>
            </w:pPr>
          </w:p>
        </w:tc>
        <w:tc>
          <w:tcPr>
            <w:tcW w:w="1208" w:type="dxa"/>
            <w:tcBorders>
              <w:top w:val="nil"/>
              <w:left w:val="nil"/>
              <w:bottom w:val="nil"/>
              <w:right w:val="nil"/>
            </w:tcBorders>
            <w:noWrap/>
            <w:vAlign w:val="bottom"/>
            <w:hideMark/>
          </w:tcPr>
          <w:p w14:paraId="7126E9FD" w14:textId="77777777" w:rsidR="00226BC6" w:rsidRPr="00103C39" w:rsidRDefault="00226BC6" w:rsidP="00226BC6">
            <w:pPr>
              <w:tabs>
                <w:tab w:val="decimal" w:pos="288"/>
              </w:tabs>
              <w:spacing w:after="0" w:line="240" w:lineRule="auto"/>
              <w:rPr>
                <w:rFonts w:ascii="Times New Roman" w:hAnsi="Times New Roman"/>
                <w:sz w:val="20"/>
                <w:szCs w:val="20"/>
              </w:rPr>
            </w:pPr>
          </w:p>
        </w:tc>
        <w:tc>
          <w:tcPr>
            <w:tcW w:w="1113" w:type="dxa"/>
            <w:tcBorders>
              <w:top w:val="nil"/>
              <w:left w:val="nil"/>
              <w:bottom w:val="nil"/>
              <w:right w:val="nil"/>
            </w:tcBorders>
            <w:vAlign w:val="bottom"/>
          </w:tcPr>
          <w:p w14:paraId="7CEB7DBA" w14:textId="77777777" w:rsidR="00226BC6" w:rsidRPr="00103C39" w:rsidRDefault="00226BC6" w:rsidP="00226BC6">
            <w:pPr>
              <w:tabs>
                <w:tab w:val="decimal" w:pos="288"/>
              </w:tabs>
              <w:spacing w:after="0" w:line="240" w:lineRule="auto"/>
              <w:rPr>
                <w:rFonts w:ascii="Times New Roman" w:hAnsi="Times New Roman"/>
                <w:sz w:val="20"/>
                <w:szCs w:val="20"/>
              </w:rPr>
            </w:pPr>
          </w:p>
        </w:tc>
        <w:tc>
          <w:tcPr>
            <w:tcW w:w="1160" w:type="dxa"/>
            <w:tcBorders>
              <w:top w:val="nil"/>
              <w:left w:val="nil"/>
              <w:bottom w:val="nil"/>
              <w:right w:val="nil"/>
            </w:tcBorders>
            <w:vAlign w:val="bottom"/>
          </w:tcPr>
          <w:p w14:paraId="71433B48" w14:textId="77777777" w:rsidR="00226BC6" w:rsidRPr="00103C39" w:rsidRDefault="00226BC6" w:rsidP="00226BC6">
            <w:pPr>
              <w:tabs>
                <w:tab w:val="decimal" w:pos="288"/>
              </w:tabs>
              <w:spacing w:after="0" w:line="240" w:lineRule="auto"/>
              <w:rPr>
                <w:rFonts w:ascii="Times New Roman" w:hAnsi="Times New Roman"/>
                <w:sz w:val="20"/>
                <w:szCs w:val="20"/>
              </w:rPr>
            </w:pPr>
          </w:p>
        </w:tc>
        <w:tc>
          <w:tcPr>
            <w:tcW w:w="1160" w:type="dxa"/>
            <w:tcBorders>
              <w:top w:val="nil"/>
              <w:left w:val="nil"/>
              <w:bottom w:val="nil"/>
              <w:right w:val="nil"/>
            </w:tcBorders>
            <w:vAlign w:val="bottom"/>
          </w:tcPr>
          <w:p w14:paraId="3B463CF5" w14:textId="77777777" w:rsidR="00226BC6" w:rsidRPr="00103C39" w:rsidRDefault="00226BC6" w:rsidP="00226BC6">
            <w:pPr>
              <w:tabs>
                <w:tab w:val="decimal" w:pos="288"/>
              </w:tabs>
              <w:spacing w:after="0" w:line="240" w:lineRule="auto"/>
              <w:rPr>
                <w:rFonts w:ascii="Times New Roman" w:hAnsi="Times New Roman"/>
                <w:sz w:val="20"/>
                <w:szCs w:val="20"/>
              </w:rPr>
            </w:pPr>
          </w:p>
        </w:tc>
      </w:tr>
      <w:tr w:rsidR="00226BC6" w:rsidRPr="00103C39" w14:paraId="521A96C3" w14:textId="77777777" w:rsidTr="007D794A">
        <w:trPr>
          <w:trHeight w:val="264"/>
        </w:trPr>
        <w:tc>
          <w:tcPr>
            <w:tcW w:w="2303" w:type="dxa"/>
            <w:tcBorders>
              <w:top w:val="nil"/>
              <w:left w:val="nil"/>
              <w:bottom w:val="nil"/>
              <w:right w:val="nil"/>
            </w:tcBorders>
            <w:noWrap/>
            <w:vAlign w:val="bottom"/>
            <w:hideMark/>
          </w:tcPr>
          <w:p w14:paraId="7D2B3CBA" w14:textId="77777777" w:rsidR="00226BC6" w:rsidRPr="00103C39" w:rsidRDefault="00226BC6" w:rsidP="00226BC6">
            <w:pPr>
              <w:spacing w:after="0" w:line="240" w:lineRule="auto"/>
              <w:jc w:val="right"/>
              <w:rPr>
                <w:rFonts w:ascii="Times New Roman" w:hAnsi="Times New Roman"/>
                <w:sz w:val="20"/>
                <w:szCs w:val="20"/>
              </w:rPr>
            </w:pPr>
            <w:r>
              <w:rPr>
                <w:rFonts w:ascii="Times New Roman" w:hAnsi="Times New Roman"/>
                <w:b/>
                <w:sz w:val="20"/>
                <w:szCs w:val="20"/>
              </w:rPr>
              <w:t xml:space="preserve">Citizenship        </w:t>
            </w:r>
            <w:r w:rsidRPr="00103C39">
              <w:rPr>
                <w:rFonts w:ascii="Times New Roman" w:hAnsi="Times New Roman"/>
                <w:sz w:val="20"/>
                <w:szCs w:val="20"/>
              </w:rPr>
              <w:t>U.S.</w:t>
            </w:r>
          </w:p>
        </w:tc>
        <w:tc>
          <w:tcPr>
            <w:tcW w:w="1208" w:type="dxa"/>
            <w:tcBorders>
              <w:top w:val="nil"/>
              <w:left w:val="nil"/>
              <w:bottom w:val="nil"/>
              <w:right w:val="nil"/>
            </w:tcBorders>
            <w:noWrap/>
            <w:vAlign w:val="bottom"/>
            <w:hideMark/>
          </w:tcPr>
          <w:p w14:paraId="7EC5AE04" w14:textId="77777777" w:rsidR="00226BC6" w:rsidRPr="00103C39" w:rsidRDefault="00226BC6" w:rsidP="00226BC6">
            <w:pPr>
              <w:tabs>
                <w:tab w:val="decimal" w:pos="360"/>
              </w:tabs>
              <w:spacing w:after="0" w:line="240" w:lineRule="auto"/>
              <w:rPr>
                <w:rFonts w:ascii="Times New Roman" w:hAnsi="Times New Roman"/>
                <w:sz w:val="20"/>
                <w:szCs w:val="20"/>
              </w:rPr>
            </w:pPr>
            <w:r w:rsidRPr="00103C39">
              <w:rPr>
                <w:rFonts w:ascii="Times New Roman" w:hAnsi="Times New Roman"/>
                <w:sz w:val="20"/>
                <w:szCs w:val="20"/>
              </w:rPr>
              <w:t>0.843</w:t>
            </w:r>
          </w:p>
        </w:tc>
        <w:tc>
          <w:tcPr>
            <w:tcW w:w="1208" w:type="dxa"/>
            <w:tcBorders>
              <w:top w:val="nil"/>
              <w:left w:val="nil"/>
              <w:bottom w:val="nil"/>
              <w:right w:val="nil"/>
            </w:tcBorders>
            <w:noWrap/>
            <w:vAlign w:val="bottom"/>
            <w:hideMark/>
          </w:tcPr>
          <w:p w14:paraId="00B1D8CD" w14:textId="77777777" w:rsidR="00226BC6" w:rsidRPr="00103C39" w:rsidRDefault="00226BC6" w:rsidP="00226BC6">
            <w:pPr>
              <w:tabs>
                <w:tab w:val="decimal" w:pos="360"/>
              </w:tabs>
              <w:spacing w:after="0" w:line="240" w:lineRule="auto"/>
              <w:rPr>
                <w:rFonts w:ascii="Times New Roman" w:hAnsi="Times New Roman"/>
                <w:sz w:val="20"/>
                <w:szCs w:val="20"/>
              </w:rPr>
            </w:pPr>
            <w:r w:rsidRPr="00103C39">
              <w:rPr>
                <w:rFonts w:ascii="Times New Roman" w:hAnsi="Times New Roman"/>
                <w:sz w:val="20"/>
                <w:szCs w:val="20"/>
              </w:rPr>
              <w:t>0.848</w:t>
            </w:r>
          </w:p>
        </w:tc>
        <w:tc>
          <w:tcPr>
            <w:tcW w:w="1208" w:type="dxa"/>
            <w:tcBorders>
              <w:top w:val="nil"/>
              <w:left w:val="nil"/>
              <w:bottom w:val="nil"/>
              <w:right w:val="nil"/>
            </w:tcBorders>
            <w:noWrap/>
            <w:vAlign w:val="bottom"/>
            <w:hideMark/>
          </w:tcPr>
          <w:p w14:paraId="41D6E200" w14:textId="77777777" w:rsidR="00226BC6" w:rsidRPr="00103C39" w:rsidRDefault="00226BC6" w:rsidP="00226BC6">
            <w:pPr>
              <w:tabs>
                <w:tab w:val="decimal" w:pos="288"/>
              </w:tabs>
              <w:spacing w:after="0" w:line="240" w:lineRule="auto"/>
              <w:rPr>
                <w:rFonts w:ascii="Times New Roman" w:hAnsi="Times New Roman"/>
                <w:sz w:val="20"/>
                <w:szCs w:val="20"/>
              </w:rPr>
            </w:pPr>
            <w:r>
              <w:rPr>
                <w:rFonts w:ascii="Times New Roman" w:hAnsi="Times New Roman"/>
                <w:sz w:val="20"/>
                <w:szCs w:val="20"/>
              </w:rPr>
              <w:t>0.873</w:t>
            </w:r>
          </w:p>
        </w:tc>
        <w:tc>
          <w:tcPr>
            <w:tcW w:w="1113" w:type="dxa"/>
            <w:tcBorders>
              <w:top w:val="nil"/>
              <w:left w:val="nil"/>
              <w:bottom w:val="nil"/>
              <w:right w:val="nil"/>
            </w:tcBorders>
            <w:vAlign w:val="bottom"/>
          </w:tcPr>
          <w:p w14:paraId="6BA8F64F" w14:textId="77777777" w:rsidR="00226BC6" w:rsidRPr="00103C39" w:rsidRDefault="00226BC6" w:rsidP="00226BC6">
            <w:pPr>
              <w:tabs>
                <w:tab w:val="decimal" w:pos="288"/>
              </w:tabs>
              <w:spacing w:after="0" w:line="240" w:lineRule="auto"/>
              <w:rPr>
                <w:rFonts w:ascii="Times New Roman" w:hAnsi="Times New Roman"/>
                <w:sz w:val="20"/>
                <w:szCs w:val="20"/>
              </w:rPr>
            </w:pPr>
            <w:r>
              <w:rPr>
                <w:rFonts w:ascii="Times New Roman" w:hAnsi="Times New Roman"/>
                <w:sz w:val="20"/>
                <w:szCs w:val="20"/>
              </w:rPr>
              <w:t>0.712</w:t>
            </w:r>
          </w:p>
        </w:tc>
        <w:tc>
          <w:tcPr>
            <w:tcW w:w="1160" w:type="dxa"/>
            <w:tcBorders>
              <w:top w:val="nil"/>
              <w:left w:val="nil"/>
              <w:bottom w:val="nil"/>
              <w:right w:val="nil"/>
            </w:tcBorders>
            <w:vAlign w:val="bottom"/>
          </w:tcPr>
          <w:p w14:paraId="4BFE37F9" w14:textId="77777777" w:rsidR="00226BC6" w:rsidRPr="00103C39" w:rsidRDefault="00226BC6" w:rsidP="00226BC6">
            <w:pPr>
              <w:tabs>
                <w:tab w:val="decimal" w:pos="288"/>
              </w:tabs>
              <w:spacing w:after="0" w:line="240" w:lineRule="auto"/>
              <w:rPr>
                <w:rFonts w:ascii="Times New Roman" w:hAnsi="Times New Roman"/>
                <w:sz w:val="20"/>
                <w:szCs w:val="20"/>
              </w:rPr>
            </w:pPr>
            <w:r>
              <w:rPr>
                <w:rFonts w:ascii="Times New Roman" w:hAnsi="Times New Roman"/>
                <w:sz w:val="20"/>
                <w:szCs w:val="20"/>
              </w:rPr>
              <w:t>0.801</w:t>
            </w:r>
          </w:p>
        </w:tc>
        <w:tc>
          <w:tcPr>
            <w:tcW w:w="1160" w:type="dxa"/>
            <w:tcBorders>
              <w:top w:val="nil"/>
              <w:left w:val="nil"/>
              <w:bottom w:val="nil"/>
              <w:right w:val="nil"/>
            </w:tcBorders>
            <w:vAlign w:val="bottom"/>
          </w:tcPr>
          <w:p w14:paraId="72B62E49" w14:textId="77777777" w:rsidR="00226BC6" w:rsidRPr="00103C39" w:rsidRDefault="00226BC6" w:rsidP="00226BC6">
            <w:pPr>
              <w:tabs>
                <w:tab w:val="decimal" w:pos="288"/>
              </w:tabs>
              <w:spacing w:after="0" w:line="240" w:lineRule="auto"/>
              <w:rPr>
                <w:rFonts w:ascii="Times New Roman" w:hAnsi="Times New Roman"/>
                <w:sz w:val="20"/>
                <w:szCs w:val="20"/>
              </w:rPr>
            </w:pPr>
            <w:r>
              <w:rPr>
                <w:rFonts w:ascii="Times New Roman" w:hAnsi="Times New Roman"/>
                <w:sz w:val="20"/>
                <w:szCs w:val="20"/>
              </w:rPr>
              <w:t>0.723</w:t>
            </w:r>
          </w:p>
        </w:tc>
      </w:tr>
      <w:tr w:rsidR="00226BC6" w:rsidRPr="00103C39" w14:paraId="29E54793" w14:textId="77777777" w:rsidTr="007D794A">
        <w:trPr>
          <w:trHeight w:val="264"/>
        </w:trPr>
        <w:tc>
          <w:tcPr>
            <w:tcW w:w="2303" w:type="dxa"/>
            <w:tcBorders>
              <w:top w:val="nil"/>
              <w:left w:val="nil"/>
              <w:bottom w:val="nil"/>
              <w:right w:val="nil"/>
            </w:tcBorders>
            <w:noWrap/>
            <w:vAlign w:val="bottom"/>
            <w:hideMark/>
          </w:tcPr>
          <w:p w14:paraId="61169493" w14:textId="77777777" w:rsidR="00226BC6" w:rsidRPr="00103C39" w:rsidRDefault="00226BC6" w:rsidP="00226BC6">
            <w:pPr>
              <w:spacing w:after="0" w:line="240" w:lineRule="auto"/>
              <w:jc w:val="right"/>
              <w:rPr>
                <w:rFonts w:ascii="Times New Roman" w:hAnsi="Times New Roman"/>
                <w:sz w:val="20"/>
                <w:szCs w:val="20"/>
              </w:rPr>
            </w:pPr>
            <w:r w:rsidRPr="00103C39">
              <w:rPr>
                <w:rFonts w:ascii="Times New Roman" w:hAnsi="Times New Roman"/>
                <w:sz w:val="20"/>
                <w:szCs w:val="20"/>
              </w:rPr>
              <w:t>Not U.S.</w:t>
            </w:r>
          </w:p>
        </w:tc>
        <w:tc>
          <w:tcPr>
            <w:tcW w:w="1208" w:type="dxa"/>
            <w:tcBorders>
              <w:top w:val="nil"/>
              <w:left w:val="nil"/>
              <w:bottom w:val="nil"/>
              <w:right w:val="nil"/>
            </w:tcBorders>
            <w:noWrap/>
            <w:vAlign w:val="bottom"/>
            <w:hideMark/>
          </w:tcPr>
          <w:p w14:paraId="3A4EAE29" w14:textId="77777777" w:rsidR="00226BC6" w:rsidRPr="00103C39" w:rsidRDefault="00226BC6" w:rsidP="00226BC6">
            <w:pPr>
              <w:tabs>
                <w:tab w:val="decimal" w:pos="360"/>
              </w:tabs>
              <w:spacing w:after="0" w:line="240" w:lineRule="auto"/>
              <w:rPr>
                <w:rFonts w:ascii="Times New Roman" w:hAnsi="Times New Roman"/>
                <w:sz w:val="20"/>
                <w:szCs w:val="20"/>
              </w:rPr>
            </w:pPr>
            <w:r w:rsidRPr="00103C39">
              <w:rPr>
                <w:rFonts w:ascii="Times New Roman" w:hAnsi="Times New Roman"/>
                <w:sz w:val="20"/>
                <w:szCs w:val="20"/>
              </w:rPr>
              <w:t>0.141</w:t>
            </w:r>
          </w:p>
        </w:tc>
        <w:tc>
          <w:tcPr>
            <w:tcW w:w="1208" w:type="dxa"/>
            <w:tcBorders>
              <w:top w:val="nil"/>
              <w:left w:val="nil"/>
              <w:bottom w:val="nil"/>
              <w:right w:val="nil"/>
            </w:tcBorders>
            <w:noWrap/>
            <w:vAlign w:val="bottom"/>
            <w:hideMark/>
          </w:tcPr>
          <w:p w14:paraId="777C1DCD" w14:textId="77777777" w:rsidR="00226BC6" w:rsidRPr="00103C39" w:rsidRDefault="00226BC6" w:rsidP="00226BC6">
            <w:pPr>
              <w:tabs>
                <w:tab w:val="decimal" w:pos="360"/>
              </w:tabs>
              <w:spacing w:after="0" w:line="240" w:lineRule="auto"/>
              <w:rPr>
                <w:rFonts w:ascii="Times New Roman" w:hAnsi="Times New Roman"/>
                <w:sz w:val="20"/>
                <w:szCs w:val="20"/>
              </w:rPr>
            </w:pPr>
            <w:r w:rsidRPr="00103C39">
              <w:rPr>
                <w:rFonts w:ascii="Times New Roman" w:hAnsi="Times New Roman"/>
                <w:sz w:val="20"/>
                <w:szCs w:val="20"/>
              </w:rPr>
              <w:t>0.144</w:t>
            </w:r>
          </w:p>
        </w:tc>
        <w:tc>
          <w:tcPr>
            <w:tcW w:w="1208" w:type="dxa"/>
            <w:tcBorders>
              <w:top w:val="nil"/>
              <w:left w:val="nil"/>
              <w:bottom w:val="nil"/>
              <w:right w:val="nil"/>
            </w:tcBorders>
            <w:noWrap/>
            <w:vAlign w:val="bottom"/>
            <w:hideMark/>
          </w:tcPr>
          <w:p w14:paraId="6F90498A" w14:textId="77777777" w:rsidR="00226BC6" w:rsidRPr="00103C39" w:rsidRDefault="00226BC6" w:rsidP="00226BC6">
            <w:pPr>
              <w:tabs>
                <w:tab w:val="decimal" w:pos="288"/>
              </w:tabs>
              <w:spacing w:after="0" w:line="240" w:lineRule="auto"/>
              <w:rPr>
                <w:rFonts w:ascii="Times New Roman" w:hAnsi="Times New Roman"/>
                <w:sz w:val="20"/>
                <w:szCs w:val="20"/>
              </w:rPr>
            </w:pPr>
            <w:r>
              <w:rPr>
                <w:rFonts w:ascii="Times New Roman" w:hAnsi="Times New Roman"/>
                <w:sz w:val="20"/>
                <w:szCs w:val="20"/>
              </w:rPr>
              <w:t>0.116</w:t>
            </w:r>
          </w:p>
        </w:tc>
        <w:tc>
          <w:tcPr>
            <w:tcW w:w="1113" w:type="dxa"/>
            <w:tcBorders>
              <w:top w:val="nil"/>
              <w:left w:val="nil"/>
              <w:bottom w:val="nil"/>
              <w:right w:val="nil"/>
            </w:tcBorders>
            <w:vAlign w:val="bottom"/>
          </w:tcPr>
          <w:p w14:paraId="0D622DF2" w14:textId="77777777" w:rsidR="00226BC6" w:rsidRPr="00103C39" w:rsidRDefault="00226BC6" w:rsidP="00226BC6">
            <w:pPr>
              <w:tabs>
                <w:tab w:val="decimal" w:pos="288"/>
              </w:tabs>
              <w:spacing w:after="0" w:line="240" w:lineRule="auto"/>
              <w:rPr>
                <w:rFonts w:ascii="Times New Roman" w:hAnsi="Times New Roman"/>
                <w:sz w:val="20"/>
                <w:szCs w:val="20"/>
              </w:rPr>
            </w:pPr>
            <w:r>
              <w:rPr>
                <w:rFonts w:ascii="Times New Roman" w:hAnsi="Times New Roman"/>
                <w:sz w:val="20"/>
                <w:szCs w:val="20"/>
              </w:rPr>
              <w:t>0.282</w:t>
            </w:r>
          </w:p>
        </w:tc>
        <w:tc>
          <w:tcPr>
            <w:tcW w:w="1160" w:type="dxa"/>
            <w:tcBorders>
              <w:top w:val="nil"/>
              <w:left w:val="nil"/>
              <w:bottom w:val="nil"/>
              <w:right w:val="nil"/>
            </w:tcBorders>
            <w:vAlign w:val="bottom"/>
          </w:tcPr>
          <w:p w14:paraId="0A89454E" w14:textId="77777777" w:rsidR="00226BC6" w:rsidRPr="00103C39" w:rsidRDefault="00226BC6" w:rsidP="00226BC6">
            <w:pPr>
              <w:tabs>
                <w:tab w:val="decimal" w:pos="288"/>
              </w:tabs>
              <w:spacing w:after="0" w:line="240" w:lineRule="auto"/>
              <w:rPr>
                <w:rFonts w:ascii="Times New Roman" w:hAnsi="Times New Roman"/>
                <w:sz w:val="20"/>
                <w:szCs w:val="20"/>
              </w:rPr>
            </w:pPr>
            <w:r>
              <w:rPr>
                <w:rFonts w:ascii="Times New Roman" w:hAnsi="Times New Roman"/>
                <w:sz w:val="20"/>
                <w:szCs w:val="20"/>
              </w:rPr>
              <w:t>0.193</w:t>
            </w:r>
          </w:p>
        </w:tc>
        <w:tc>
          <w:tcPr>
            <w:tcW w:w="1160" w:type="dxa"/>
            <w:tcBorders>
              <w:top w:val="nil"/>
              <w:left w:val="nil"/>
              <w:bottom w:val="nil"/>
              <w:right w:val="nil"/>
            </w:tcBorders>
            <w:vAlign w:val="bottom"/>
          </w:tcPr>
          <w:p w14:paraId="4F347124" w14:textId="77777777" w:rsidR="00226BC6" w:rsidRPr="00103C39" w:rsidRDefault="00226BC6" w:rsidP="00226BC6">
            <w:pPr>
              <w:tabs>
                <w:tab w:val="decimal" w:pos="288"/>
              </w:tabs>
              <w:spacing w:after="0" w:line="240" w:lineRule="auto"/>
              <w:rPr>
                <w:rFonts w:ascii="Times New Roman" w:hAnsi="Times New Roman"/>
                <w:sz w:val="20"/>
                <w:szCs w:val="20"/>
              </w:rPr>
            </w:pPr>
            <w:r>
              <w:rPr>
                <w:rFonts w:ascii="Times New Roman" w:hAnsi="Times New Roman"/>
                <w:sz w:val="20"/>
                <w:szCs w:val="20"/>
              </w:rPr>
              <w:t>0.271</w:t>
            </w:r>
          </w:p>
        </w:tc>
      </w:tr>
      <w:tr w:rsidR="00226BC6" w:rsidRPr="00103C39" w14:paraId="13F4BAF2" w14:textId="77777777" w:rsidTr="007D794A">
        <w:trPr>
          <w:trHeight w:val="264"/>
        </w:trPr>
        <w:tc>
          <w:tcPr>
            <w:tcW w:w="2303" w:type="dxa"/>
            <w:tcBorders>
              <w:top w:val="nil"/>
              <w:left w:val="nil"/>
              <w:bottom w:val="nil"/>
              <w:right w:val="nil"/>
            </w:tcBorders>
            <w:noWrap/>
            <w:vAlign w:val="bottom"/>
            <w:hideMark/>
          </w:tcPr>
          <w:p w14:paraId="5BF78F8B" w14:textId="77777777" w:rsidR="00226BC6" w:rsidRPr="00103C39" w:rsidRDefault="00226BC6" w:rsidP="00226BC6">
            <w:pPr>
              <w:spacing w:after="0" w:line="240" w:lineRule="auto"/>
              <w:jc w:val="right"/>
              <w:rPr>
                <w:rFonts w:ascii="Times New Roman" w:hAnsi="Times New Roman"/>
                <w:sz w:val="20"/>
                <w:szCs w:val="20"/>
              </w:rPr>
            </w:pPr>
            <w:r w:rsidRPr="00103C39">
              <w:rPr>
                <w:rFonts w:ascii="Times New Roman" w:hAnsi="Times New Roman"/>
                <w:sz w:val="20"/>
                <w:szCs w:val="20"/>
              </w:rPr>
              <w:t>missing</w:t>
            </w:r>
          </w:p>
        </w:tc>
        <w:tc>
          <w:tcPr>
            <w:tcW w:w="1208" w:type="dxa"/>
            <w:tcBorders>
              <w:top w:val="nil"/>
              <w:left w:val="nil"/>
              <w:bottom w:val="nil"/>
              <w:right w:val="nil"/>
            </w:tcBorders>
            <w:noWrap/>
            <w:vAlign w:val="bottom"/>
            <w:hideMark/>
          </w:tcPr>
          <w:p w14:paraId="434AA9BA" w14:textId="77777777" w:rsidR="00226BC6" w:rsidRPr="00103C39" w:rsidRDefault="00226BC6" w:rsidP="00226BC6">
            <w:pPr>
              <w:tabs>
                <w:tab w:val="decimal" w:pos="360"/>
              </w:tabs>
              <w:spacing w:after="0" w:line="240" w:lineRule="auto"/>
              <w:rPr>
                <w:rFonts w:ascii="Times New Roman" w:hAnsi="Times New Roman"/>
                <w:sz w:val="20"/>
                <w:szCs w:val="20"/>
              </w:rPr>
            </w:pPr>
            <w:r w:rsidRPr="00103C39">
              <w:rPr>
                <w:rFonts w:ascii="Times New Roman" w:hAnsi="Times New Roman"/>
                <w:sz w:val="20"/>
                <w:szCs w:val="20"/>
              </w:rPr>
              <w:t>0.014</w:t>
            </w:r>
          </w:p>
        </w:tc>
        <w:tc>
          <w:tcPr>
            <w:tcW w:w="1208" w:type="dxa"/>
            <w:tcBorders>
              <w:top w:val="nil"/>
              <w:left w:val="nil"/>
              <w:bottom w:val="nil"/>
              <w:right w:val="nil"/>
            </w:tcBorders>
            <w:noWrap/>
            <w:vAlign w:val="bottom"/>
            <w:hideMark/>
          </w:tcPr>
          <w:p w14:paraId="225E236F" w14:textId="77777777" w:rsidR="00226BC6" w:rsidRPr="00103C39" w:rsidRDefault="00226BC6" w:rsidP="00226BC6">
            <w:pPr>
              <w:tabs>
                <w:tab w:val="decimal" w:pos="360"/>
              </w:tabs>
              <w:spacing w:after="0" w:line="240" w:lineRule="auto"/>
              <w:rPr>
                <w:rFonts w:ascii="Times New Roman" w:hAnsi="Times New Roman"/>
                <w:sz w:val="20"/>
                <w:szCs w:val="20"/>
              </w:rPr>
            </w:pPr>
            <w:r w:rsidRPr="00103C39">
              <w:rPr>
                <w:rFonts w:ascii="Times New Roman" w:hAnsi="Times New Roman"/>
                <w:sz w:val="20"/>
                <w:szCs w:val="20"/>
              </w:rPr>
              <w:t>0.007</w:t>
            </w:r>
          </w:p>
        </w:tc>
        <w:tc>
          <w:tcPr>
            <w:tcW w:w="1208" w:type="dxa"/>
            <w:tcBorders>
              <w:top w:val="nil"/>
              <w:left w:val="nil"/>
              <w:bottom w:val="nil"/>
              <w:right w:val="nil"/>
            </w:tcBorders>
            <w:noWrap/>
            <w:vAlign w:val="bottom"/>
            <w:hideMark/>
          </w:tcPr>
          <w:p w14:paraId="10820B28" w14:textId="77777777" w:rsidR="00226BC6" w:rsidRPr="00103C39" w:rsidRDefault="00226BC6" w:rsidP="00226BC6">
            <w:pPr>
              <w:tabs>
                <w:tab w:val="decimal" w:pos="288"/>
              </w:tabs>
              <w:spacing w:after="0" w:line="240" w:lineRule="auto"/>
              <w:rPr>
                <w:rFonts w:ascii="Times New Roman" w:hAnsi="Times New Roman"/>
                <w:sz w:val="20"/>
                <w:szCs w:val="20"/>
              </w:rPr>
            </w:pPr>
            <w:r>
              <w:rPr>
                <w:rFonts w:ascii="Times New Roman" w:hAnsi="Times New Roman"/>
                <w:sz w:val="20"/>
                <w:szCs w:val="20"/>
              </w:rPr>
              <w:t>0.009</w:t>
            </w:r>
          </w:p>
        </w:tc>
        <w:tc>
          <w:tcPr>
            <w:tcW w:w="1113" w:type="dxa"/>
            <w:tcBorders>
              <w:top w:val="nil"/>
              <w:left w:val="nil"/>
              <w:bottom w:val="nil"/>
              <w:right w:val="nil"/>
            </w:tcBorders>
            <w:vAlign w:val="bottom"/>
          </w:tcPr>
          <w:p w14:paraId="67F2A8FD" w14:textId="77777777" w:rsidR="00226BC6" w:rsidRPr="00103C39" w:rsidRDefault="00226BC6" w:rsidP="00226BC6">
            <w:pPr>
              <w:tabs>
                <w:tab w:val="decimal" w:pos="288"/>
              </w:tabs>
              <w:spacing w:after="0" w:line="240" w:lineRule="auto"/>
              <w:rPr>
                <w:rFonts w:ascii="Times New Roman" w:hAnsi="Times New Roman"/>
                <w:sz w:val="20"/>
                <w:szCs w:val="20"/>
              </w:rPr>
            </w:pPr>
            <w:r>
              <w:rPr>
                <w:rFonts w:ascii="Times New Roman" w:hAnsi="Times New Roman"/>
                <w:sz w:val="20"/>
                <w:szCs w:val="20"/>
              </w:rPr>
              <w:t>0.004</w:t>
            </w:r>
          </w:p>
        </w:tc>
        <w:tc>
          <w:tcPr>
            <w:tcW w:w="1160" w:type="dxa"/>
            <w:tcBorders>
              <w:top w:val="nil"/>
              <w:left w:val="nil"/>
              <w:bottom w:val="nil"/>
              <w:right w:val="nil"/>
            </w:tcBorders>
            <w:vAlign w:val="bottom"/>
          </w:tcPr>
          <w:p w14:paraId="6349D93C" w14:textId="77777777" w:rsidR="00226BC6" w:rsidRPr="00103C39" w:rsidRDefault="00226BC6" w:rsidP="00226BC6">
            <w:pPr>
              <w:tabs>
                <w:tab w:val="decimal" w:pos="288"/>
              </w:tabs>
              <w:spacing w:after="0" w:line="240" w:lineRule="auto"/>
              <w:rPr>
                <w:rFonts w:ascii="Times New Roman" w:hAnsi="Times New Roman"/>
                <w:sz w:val="20"/>
                <w:szCs w:val="20"/>
              </w:rPr>
            </w:pPr>
            <w:r>
              <w:rPr>
                <w:rFonts w:ascii="Times New Roman" w:hAnsi="Times New Roman"/>
                <w:sz w:val="20"/>
                <w:szCs w:val="20"/>
              </w:rPr>
              <w:t>0.004</w:t>
            </w:r>
          </w:p>
        </w:tc>
        <w:tc>
          <w:tcPr>
            <w:tcW w:w="1160" w:type="dxa"/>
            <w:tcBorders>
              <w:top w:val="nil"/>
              <w:left w:val="nil"/>
              <w:bottom w:val="nil"/>
              <w:right w:val="nil"/>
            </w:tcBorders>
            <w:vAlign w:val="bottom"/>
          </w:tcPr>
          <w:p w14:paraId="231FBF25" w14:textId="77777777" w:rsidR="00226BC6" w:rsidRPr="00103C39" w:rsidRDefault="00226BC6" w:rsidP="00226BC6">
            <w:pPr>
              <w:tabs>
                <w:tab w:val="decimal" w:pos="288"/>
              </w:tabs>
              <w:spacing w:after="0" w:line="240" w:lineRule="auto"/>
              <w:rPr>
                <w:rFonts w:ascii="Times New Roman" w:hAnsi="Times New Roman"/>
                <w:sz w:val="20"/>
                <w:szCs w:val="20"/>
              </w:rPr>
            </w:pPr>
            <w:r>
              <w:rPr>
                <w:rFonts w:ascii="Times New Roman" w:hAnsi="Times New Roman"/>
                <w:sz w:val="20"/>
                <w:szCs w:val="20"/>
              </w:rPr>
              <w:t>0.004</w:t>
            </w:r>
          </w:p>
        </w:tc>
      </w:tr>
      <w:tr w:rsidR="00226BC6" w:rsidRPr="00103C39" w14:paraId="6C69B1B1" w14:textId="77777777" w:rsidTr="007D794A">
        <w:trPr>
          <w:trHeight w:val="264"/>
        </w:trPr>
        <w:tc>
          <w:tcPr>
            <w:tcW w:w="2303" w:type="dxa"/>
            <w:tcBorders>
              <w:top w:val="nil"/>
              <w:left w:val="nil"/>
              <w:bottom w:val="nil"/>
              <w:right w:val="nil"/>
            </w:tcBorders>
            <w:noWrap/>
            <w:vAlign w:val="bottom"/>
            <w:hideMark/>
          </w:tcPr>
          <w:p w14:paraId="2EB49AD9" w14:textId="77777777" w:rsidR="00226BC6" w:rsidRPr="00103C39" w:rsidRDefault="00226BC6" w:rsidP="00226BC6">
            <w:pPr>
              <w:spacing w:after="0" w:line="240" w:lineRule="auto"/>
              <w:rPr>
                <w:rFonts w:ascii="Times New Roman" w:hAnsi="Times New Roman"/>
                <w:b/>
                <w:bCs/>
                <w:sz w:val="20"/>
                <w:szCs w:val="20"/>
              </w:rPr>
            </w:pPr>
          </w:p>
        </w:tc>
        <w:tc>
          <w:tcPr>
            <w:tcW w:w="1208" w:type="dxa"/>
            <w:tcBorders>
              <w:top w:val="nil"/>
              <w:left w:val="nil"/>
              <w:bottom w:val="nil"/>
              <w:right w:val="nil"/>
            </w:tcBorders>
            <w:noWrap/>
            <w:vAlign w:val="bottom"/>
            <w:hideMark/>
          </w:tcPr>
          <w:p w14:paraId="61A554DE" w14:textId="77777777" w:rsidR="00226BC6" w:rsidRPr="00103C39" w:rsidRDefault="00226BC6" w:rsidP="00226BC6">
            <w:pPr>
              <w:tabs>
                <w:tab w:val="decimal" w:pos="360"/>
              </w:tabs>
              <w:spacing w:after="0" w:line="240" w:lineRule="auto"/>
              <w:rPr>
                <w:rFonts w:ascii="Times New Roman" w:hAnsi="Times New Roman"/>
                <w:sz w:val="20"/>
                <w:szCs w:val="20"/>
              </w:rPr>
            </w:pPr>
          </w:p>
        </w:tc>
        <w:tc>
          <w:tcPr>
            <w:tcW w:w="1208" w:type="dxa"/>
            <w:tcBorders>
              <w:top w:val="nil"/>
              <w:left w:val="nil"/>
              <w:bottom w:val="nil"/>
              <w:right w:val="nil"/>
            </w:tcBorders>
            <w:noWrap/>
            <w:vAlign w:val="bottom"/>
            <w:hideMark/>
          </w:tcPr>
          <w:p w14:paraId="1EB5A0EB" w14:textId="77777777" w:rsidR="00226BC6" w:rsidRPr="00103C39" w:rsidRDefault="00226BC6" w:rsidP="00226BC6">
            <w:pPr>
              <w:tabs>
                <w:tab w:val="decimal" w:pos="360"/>
              </w:tabs>
              <w:spacing w:after="0" w:line="240" w:lineRule="auto"/>
              <w:rPr>
                <w:rFonts w:ascii="Times New Roman" w:hAnsi="Times New Roman"/>
                <w:sz w:val="20"/>
                <w:szCs w:val="20"/>
              </w:rPr>
            </w:pPr>
          </w:p>
        </w:tc>
        <w:tc>
          <w:tcPr>
            <w:tcW w:w="1208" w:type="dxa"/>
            <w:tcBorders>
              <w:top w:val="nil"/>
              <w:left w:val="nil"/>
              <w:bottom w:val="nil"/>
              <w:right w:val="nil"/>
            </w:tcBorders>
            <w:noWrap/>
            <w:vAlign w:val="bottom"/>
            <w:hideMark/>
          </w:tcPr>
          <w:p w14:paraId="38EB09CC" w14:textId="77777777" w:rsidR="00226BC6" w:rsidRPr="00103C39" w:rsidRDefault="00226BC6" w:rsidP="00226BC6">
            <w:pPr>
              <w:tabs>
                <w:tab w:val="decimal" w:pos="288"/>
              </w:tabs>
              <w:spacing w:after="0" w:line="240" w:lineRule="auto"/>
              <w:rPr>
                <w:rFonts w:ascii="Times New Roman" w:hAnsi="Times New Roman"/>
                <w:sz w:val="20"/>
                <w:szCs w:val="20"/>
              </w:rPr>
            </w:pPr>
          </w:p>
        </w:tc>
        <w:tc>
          <w:tcPr>
            <w:tcW w:w="1113" w:type="dxa"/>
            <w:tcBorders>
              <w:top w:val="nil"/>
              <w:left w:val="nil"/>
              <w:bottom w:val="nil"/>
              <w:right w:val="nil"/>
            </w:tcBorders>
            <w:vAlign w:val="bottom"/>
          </w:tcPr>
          <w:p w14:paraId="2BE3BA51" w14:textId="77777777" w:rsidR="00226BC6" w:rsidRPr="00103C39" w:rsidRDefault="00226BC6" w:rsidP="00226BC6">
            <w:pPr>
              <w:tabs>
                <w:tab w:val="decimal" w:pos="288"/>
              </w:tabs>
              <w:spacing w:after="0" w:line="240" w:lineRule="auto"/>
              <w:rPr>
                <w:rFonts w:ascii="Times New Roman" w:hAnsi="Times New Roman"/>
                <w:sz w:val="20"/>
                <w:szCs w:val="20"/>
              </w:rPr>
            </w:pPr>
          </w:p>
        </w:tc>
        <w:tc>
          <w:tcPr>
            <w:tcW w:w="1160" w:type="dxa"/>
            <w:tcBorders>
              <w:top w:val="nil"/>
              <w:left w:val="nil"/>
              <w:bottom w:val="nil"/>
              <w:right w:val="nil"/>
            </w:tcBorders>
            <w:vAlign w:val="bottom"/>
          </w:tcPr>
          <w:p w14:paraId="5A6F7BC8" w14:textId="77777777" w:rsidR="00226BC6" w:rsidRPr="00103C39" w:rsidRDefault="00226BC6" w:rsidP="00226BC6">
            <w:pPr>
              <w:tabs>
                <w:tab w:val="decimal" w:pos="288"/>
              </w:tabs>
              <w:spacing w:after="0" w:line="240" w:lineRule="auto"/>
              <w:rPr>
                <w:rFonts w:ascii="Times New Roman" w:hAnsi="Times New Roman"/>
                <w:sz w:val="20"/>
                <w:szCs w:val="20"/>
              </w:rPr>
            </w:pPr>
          </w:p>
        </w:tc>
        <w:tc>
          <w:tcPr>
            <w:tcW w:w="1160" w:type="dxa"/>
            <w:tcBorders>
              <w:top w:val="nil"/>
              <w:left w:val="nil"/>
              <w:bottom w:val="nil"/>
              <w:right w:val="nil"/>
            </w:tcBorders>
            <w:vAlign w:val="bottom"/>
          </w:tcPr>
          <w:p w14:paraId="01EC9701" w14:textId="77777777" w:rsidR="00226BC6" w:rsidRPr="00103C39" w:rsidRDefault="00226BC6" w:rsidP="00226BC6">
            <w:pPr>
              <w:tabs>
                <w:tab w:val="decimal" w:pos="288"/>
              </w:tabs>
              <w:spacing w:after="0" w:line="240" w:lineRule="auto"/>
              <w:rPr>
                <w:rFonts w:ascii="Times New Roman" w:hAnsi="Times New Roman"/>
                <w:sz w:val="20"/>
                <w:szCs w:val="20"/>
              </w:rPr>
            </w:pPr>
          </w:p>
        </w:tc>
      </w:tr>
      <w:tr w:rsidR="00226BC6" w:rsidRPr="00103C39" w14:paraId="4A964393" w14:textId="77777777" w:rsidTr="007D794A">
        <w:trPr>
          <w:trHeight w:val="264"/>
        </w:trPr>
        <w:tc>
          <w:tcPr>
            <w:tcW w:w="2303" w:type="dxa"/>
            <w:tcBorders>
              <w:top w:val="nil"/>
              <w:left w:val="nil"/>
              <w:bottom w:val="nil"/>
              <w:right w:val="nil"/>
            </w:tcBorders>
            <w:noWrap/>
            <w:vAlign w:val="bottom"/>
            <w:hideMark/>
          </w:tcPr>
          <w:p w14:paraId="2DD2B336" w14:textId="77777777" w:rsidR="00226BC6" w:rsidRPr="00103C39" w:rsidRDefault="00226BC6" w:rsidP="00226BC6">
            <w:pPr>
              <w:spacing w:after="0" w:line="240" w:lineRule="auto"/>
              <w:jc w:val="right"/>
              <w:rPr>
                <w:rFonts w:ascii="Times New Roman" w:hAnsi="Times New Roman"/>
                <w:sz w:val="20"/>
                <w:szCs w:val="20"/>
              </w:rPr>
            </w:pPr>
            <w:r>
              <w:rPr>
                <w:rFonts w:ascii="Times New Roman" w:hAnsi="Times New Roman"/>
                <w:b/>
                <w:sz w:val="20"/>
                <w:szCs w:val="20"/>
              </w:rPr>
              <w:t xml:space="preserve">Age at Entry     </w:t>
            </w:r>
            <w:r w:rsidRPr="00103C39">
              <w:rPr>
                <w:rFonts w:ascii="Times New Roman" w:hAnsi="Times New Roman"/>
                <w:sz w:val="20"/>
                <w:szCs w:val="20"/>
              </w:rPr>
              <w:t>&lt; 17</w:t>
            </w:r>
          </w:p>
        </w:tc>
        <w:tc>
          <w:tcPr>
            <w:tcW w:w="1208" w:type="dxa"/>
            <w:tcBorders>
              <w:top w:val="nil"/>
              <w:left w:val="nil"/>
              <w:bottom w:val="nil"/>
              <w:right w:val="nil"/>
            </w:tcBorders>
            <w:noWrap/>
            <w:vAlign w:val="bottom"/>
            <w:hideMark/>
          </w:tcPr>
          <w:p w14:paraId="0731FC5B" w14:textId="77777777" w:rsidR="00226BC6" w:rsidRPr="00103C39" w:rsidRDefault="00226BC6" w:rsidP="00226BC6">
            <w:pPr>
              <w:tabs>
                <w:tab w:val="decimal" w:pos="360"/>
              </w:tabs>
              <w:spacing w:after="0" w:line="240" w:lineRule="auto"/>
              <w:rPr>
                <w:rFonts w:ascii="Times New Roman" w:hAnsi="Times New Roman"/>
                <w:sz w:val="20"/>
                <w:szCs w:val="20"/>
              </w:rPr>
            </w:pPr>
            <w:r w:rsidRPr="00103C39">
              <w:rPr>
                <w:rFonts w:ascii="Times New Roman" w:hAnsi="Times New Roman"/>
                <w:sz w:val="20"/>
                <w:szCs w:val="20"/>
              </w:rPr>
              <w:t>0.013</w:t>
            </w:r>
          </w:p>
        </w:tc>
        <w:tc>
          <w:tcPr>
            <w:tcW w:w="1208" w:type="dxa"/>
            <w:tcBorders>
              <w:top w:val="nil"/>
              <w:left w:val="nil"/>
              <w:bottom w:val="nil"/>
              <w:right w:val="nil"/>
            </w:tcBorders>
            <w:noWrap/>
            <w:vAlign w:val="bottom"/>
            <w:hideMark/>
          </w:tcPr>
          <w:p w14:paraId="23AAEB74" w14:textId="77777777" w:rsidR="00226BC6" w:rsidRPr="00103C39" w:rsidRDefault="00226BC6" w:rsidP="00226BC6">
            <w:pPr>
              <w:tabs>
                <w:tab w:val="decimal" w:pos="360"/>
              </w:tabs>
              <w:spacing w:after="0" w:line="240" w:lineRule="auto"/>
              <w:rPr>
                <w:rFonts w:ascii="Times New Roman" w:hAnsi="Times New Roman"/>
                <w:sz w:val="20"/>
                <w:szCs w:val="20"/>
              </w:rPr>
            </w:pPr>
            <w:r w:rsidRPr="00103C39">
              <w:rPr>
                <w:rFonts w:ascii="Times New Roman" w:hAnsi="Times New Roman"/>
                <w:sz w:val="20"/>
                <w:szCs w:val="20"/>
              </w:rPr>
              <w:t>0.019</w:t>
            </w:r>
          </w:p>
        </w:tc>
        <w:tc>
          <w:tcPr>
            <w:tcW w:w="1208" w:type="dxa"/>
            <w:tcBorders>
              <w:top w:val="nil"/>
              <w:left w:val="nil"/>
              <w:bottom w:val="nil"/>
              <w:right w:val="nil"/>
            </w:tcBorders>
            <w:noWrap/>
            <w:vAlign w:val="bottom"/>
            <w:hideMark/>
          </w:tcPr>
          <w:p w14:paraId="6F17840D" w14:textId="77777777" w:rsidR="00226BC6" w:rsidRPr="00103C39" w:rsidRDefault="00226BC6" w:rsidP="00226BC6">
            <w:pPr>
              <w:tabs>
                <w:tab w:val="decimal" w:pos="288"/>
              </w:tabs>
              <w:spacing w:after="0" w:line="240" w:lineRule="auto"/>
              <w:rPr>
                <w:rFonts w:ascii="Times New Roman" w:hAnsi="Times New Roman"/>
                <w:sz w:val="20"/>
                <w:szCs w:val="20"/>
              </w:rPr>
            </w:pPr>
            <w:r>
              <w:rPr>
                <w:rFonts w:ascii="Times New Roman" w:hAnsi="Times New Roman"/>
                <w:sz w:val="20"/>
                <w:szCs w:val="20"/>
              </w:rPr>
              <w:t>0.017</w:t>
            </w:r>
          </w:p>
        </w:tc>
        <w:tc>
          <w:tcPr>
            <w:tcW w:w="1113" w:type="dxa"/>
            <w:tcBorders>
              <w:top w:val="nil"/>
              <w:left w:val="nil"/>
              <w:bottom w:val="nil"/>
              <w:right w:val="nil"/>
            </w:tcBorders>
            <w:vAlign w:val="bottom"/>
          </w:tcPr>
          <w:p w14:paraId="7431C86D" w14:textId="77777777" w:rsidR="00226BC6" w:rsidRPr="00103C39" w:rsidRDefault="00226BC6" w:rsidP="00226BC6">
            <w:pPr>
              <w:tabs>
                <w:tab w:val="decimal" w:pos="288"/>
              </w:tabs>
              <w:spacing w:after="0" w:line="240" w:lineRule="auto"/>
              <w:rPr>
                <w:rFonts w:ascii="Times New Roman" w:hAnsi="Times New Roman"/>
                <w:sz w:val="20"/>
                <w:szCs w:val="20"/>
              </w:rPr>
            </w:pPr>
            <w:r>
              <w:rPr>
                <w:rFonts w:ascii="Times New Roman" w:hAnsi="Times New Roman"/>
                <w:sz w:val="20"/>
                <w:szCs w:val="20"/>
              </w:rPr>
              <w:t>0.029</w:t>
            </w:r>
          </w:p>
        </w:tc>
        <w:tc>
          <w:tcPr>
            <w:tcW w:w="1160" w:type="dxa"/>
            <w:tcBorders>
              <w:top w:val="nil"/>
              <w:left w:val="nil"/>
              <w:bottom w:val="nil"/>
              <w:right w:val="nil"/>
            </w:tcBorders>
            <w:vAlign w:val="bottom"/>
          </w:tcPr>
          <w:p w14:paraId="34E2F868" w14:textId="77777777" w:rsidR="00226BC6" w:rsidRPr="00103C39" w:rsidRDefault="00226BC6" w:rsidP="00226BC6">
            <w:pPr>
              <w:tabs>
                <w:tab w:val="decimal" w:pos="288"/>
              </w:tabs>
              <w:spacing w:after="0" w:line="240" w:lineRule="auto"/>
              <w:rPr>
                <w:rFonts w:ascii="Times New Roman" w:hAnsi="Times New Roman"/>
                <w:sz w:val="20"/>
                <w:szCs w:val="20"/>
              </w:rPr>
            </w:pPr>
            <w:r>
              <w:rPr>
                <w:rFonts w:ascii="Times New Roman" w:hAnsi="Times New Roman"/>
                <w:sz w:val="20"/>
                <w:szCs w:val="20"/>
              </w:rPr>
              <w:t>0.023</w:t>
            </w:r>
          </w:p>
        </w:tc>
        <w:tc>
          <w:tcPr>
            <w:tcW w:w="1160" w:type="dxa"/>
            <w:tcBorders>
              <w:top w:val="nil"/>
              <w:left w:val="nil"/>
              <w:bottom w:val="nil"/>
              <w:right w:val="nil"/>
            </w:tcBorders>
            <w:vAlign w:val="bottom"/>
          </w:tcPr>
          <w:p w14:paraId="02607C89" w14:textId="77777777" w:rsidR="00226BC6" w:rsidRPr="00103C39" w:rsidRDefault="00226BC6" w:rsidP="00226BC6">
            <w:pPr>
              <w:tabs>
                <w:tab w:val="decimal" w:pos="288"/>
              </w:tabs>
              <w:spacing w:after="0" w:line="240" w:lineRule="auto"/>
              <w:rPr>
                <w:rFonts w:ascii="Times New Roman" w:hAnsi="Times New Roman"/>
                <w:sz w:val="20"/>
                <w:szCs w:val="20"/>
              </w:rPr>
            </w:pPr>
            <w:r>
              <w:rPr>
                <w:rFonts w:ascii="Times New Roman" w:hAnsi="Times New Roman"/>
                <w:sz w:val="20"/>
                <w:szCs w:val="20"/>
              </w:rPr>
              <w:t>0.022</w:t>
            </w:r>
          </w:p>
        </w:tc>
      </w:tr>
      <w:tr w:rsidR="00226BC6" w:rsidRPr="00103C39" w14:paraId="6B8E74A6" w14:textId="77777777" w:rsidTr="007D794A">
        <w:trPr>
          <w:trHeight w:val="264"/>
        </w:trPr>
        <w:tc>
          <w:tcPr>
            <w:tcW w:w="2303" w:type="dxa"/>
            <w:tcBorders>
              <w:top w:val="nil"/>
              <w:left w:val="nil"/>
              <w:bottom w:val="nil"/>
              <w:right w:val="nil"/>
            </w:tcBorders>
            <w:noWrap/>
            <w:vAlign w:val="bottom"/>
            <w:hideMark/>
          </w:tcPr>
          <w:p w14:paraId="01AB33E7" w14:textId="77777777" w:rsidR="00226BC6" w:rsidRPr="00103C39" w:rsidRDefault="00226BC6" w:rsidP="00226BC6">
            <w:pPr>
              <w:spacing w:after="0" w:line="240" w:lineRule="auto"/>
              <w:jc w:val="right"/>
              <w:rPr>
                <w:rFonts w:ascii="Times New Roman" w:hAnsi="Times New Roman"/>
                <w:sz w:val="20"/>
                <w:szCs w:val="20"/>
              </w:rPr>
            </w:pPr>
            <w:r w:rsidRPr="00103C39">
              <w:rPr>
                <w:rFonts w:ascii="Times New Roman" w:hAnsi="Times New Roman"/>
                <w:sz w:val="20"/>
                <w:szCs w:val="20"/>
              </w:rPr>
              <w:t>17-19</w:t>
            </w:r>
          </w:p>
        </w:tc>
        <w:tc>
          <w:tcPr>
            <w:tcW w:w="1208" w:type="dxa"/>
            <w:tcBorders>
              <w:top w:val="nil"/>
              <w:left w:val="nil"/>
              <w:bottom w:val="nil"/>
              <w:right w:val="nil"/>
            </w:tcBorders>
            <w:noWrap/>
            <w:vAlign w:val="bottom"/>
            <w:hideMark/>
          </w:tcPr>
          <w:p w14:paraId="1FF2D2B4" w14:textId="77777777" w:rsidR="00226BC6" w:rsidRPr="00103C39" w:rsidRDefault="00226BC6" w:rsidP="00226BC6">
            <w:pPr>
              <w:tabs>
                <w:tab w:val="decimal" w:pos="360"/>
              </w:tabs>
              <w:spacing w:after="0" w:line="240" w:lineRule="auto"/>
              <w:rPr>
                <w:rFonts w:ascii="Times New Roman" w:hAnsi="Times New Roman"/>
                <w:sz w:val="20"/>
                <w:szCs w:val="20"/>
              </w:rPr>
            </w:pPr>
            <w:r w:rsidRPr="00103C39">
              <w:rPr>
                <w:rFonts w:ascii="Times New Roman" w:hAnsi="Times New Roman"/>
                <w:sz w:val="20"/>
                <w:szCs w:val="20"/>
              </w:rPr>
              <w:t>0.482</w:t>
            </w:r>
          </w:p>
        </w:tc>
        <w:tc>
          <w:tcPr>
            <w:tcW w:w="1208" w:type="dxa"/>
            <w:tcBorders>
              <w:top w:val="nil"/>
              <w:left w:val="nil"/>
              <w:bottom w:val="nil"/>
              <w:right w:val="nil"/>
            </w:tcBorders>
            <w:noWrap/>
            <w:vAlign w:val="bottom"/>
            <w:hideMark/>
          </w:tcPr>
          <w:p w14:paraId="4189F632" w14:textId="77777777" w:rsidR="00226BC6" w:rsidRPr="00103C39" w:rsidRDefault="00226BC6" w:rsidP="00226BC6">
            <w:pPr>
              <w:tabs>
                <w:tab w:val="decimal" w:pos="360"/>
              </w:tabs>
              <w:spacing w:after="0" w:line="240" w:lineRule="auto"/>
              <w:rPr>
                <w:rFonts w:ascii="Times New Roman" w:hAnsi="Times New Roman"/>
                <w:sz w:val="20"/>
                <w:szCs w:val="20"/>
              </w:rPr>
            </w:pPr>
            <w:r w:rsidRPr="00103C39">
              <w:rPr>
                <w:rFonts w:ascii="Times New Roman" w:hAnsi="Times New Roman"/>
                <w:sz w:val="20"/>
                <w:szCs w:val="20"/>
              </w:rPr>
              <w:t>0.717</w:t>
            </w:r>
          </w:p>
        </w:tc>
        <w:tc>
          <w:tcPr>
            <w:tcW w:w="1208" w:type="dxa"/>
            <w:tcBorders>
              <w:top w:val="nil"/>
              <w:left w:val="nil"/>
              <w:bottom w:val="nil"/>
              <w:right w:val="nil"/>
            </w:tcBorders>
            <w:noWrap/>
            <w:vAlign w:val="bottom"/>
            <w:hideMark/>
          </w:tcPr>
          <w:p w14:paraId="64B6AC7C" w14:textId="77777777" w:rsidR="00226BC6" w:rsidRPr="00103C39" w:rsidRDefault="00226BC6" w:rsidP="00226BC6">
            <w:pPr>
              <w:tabs>
                <w:tab w:val="decimal" w:pos="288"/>
              </w:tabs>
              <w:spacing w:after="0" w:line="240" w:lineRule="auto"/>
              <w:rPr>
                <w:rFonts w:ascii="Times New Roman" w:hAnsi="Times New Roman"/>
                <w:sz w:val="20"/>
                <w:szCs w:val="20"/>
              </w:rPr>
            </w:pPr>
            <w:r>
              <w:rPr>
                <w:rFonts w:ascii="Times New Roman" w:hAnsi="Times New Roman"/>
                <w:sz w:val="20"/>
                <w:szCs w:val="20"/>
              </w:rPr>
              <w:t>0.655</w:t>
            </w:r>
          </w:p>
        </w:tc>
        <w:tc>
          <w:tcPr>
            <w:tcW w:w="1113" w:type="dxa"/>
            <w:tcBorders>
              <w:top w:val="nil"/>
              <w:left w:val="nil"/>
              <w:bottom w:val="nil"/>
              <w:right w:val="nil"/>
            </w:tcBorders>
            <w:vAlign w:val="bottom"/>
          </w:tcPr>
          <w:p w14:paraId="4F040675" w14:textId="77777777" w:rsidR="00226BC6" w:rsidRPr="00103C39" w:rsidRDefault="00226BC6" w:rsidP="00226BC6">
            <w:pPr>
              <w:tabs>
                <w:tab w:val="decimal" w:pos="288"/>
              </w:tabs>
              <w:spacing w:after="0" w:line="240" w:lineRule="auto"/>
              <w:rPr>
                <w:rFonts w:ascii="Times New Roman" w:hAnsi="Times New Roman"/>
                <w:sz w:val="20"/>
                <w:szCs w:val="20"/>
              </w:rPr>
            </w:pPr>
            <w:r>
              <w:rPr>
                <w:rFonts w:ascii="Times New Roman" w:hAnsi="Times New Roman"/>
                <w:sz w:val="20"/>
                <w:szCs w:val="20"/>
              </w:rPr>
              <w:t>0.766</w:t>
            </w:r>
          </w:p>
        </w:tc>
        <w:tc>
          <w:tcPr>
            <w:tcW w:w="1160" w:type="dxa"/>
            <w:tcBorders>
              <w:top w:val="nil"/>
              <w:left w:val="nil"/>
              <w:bottom w:val="nil"/>
              <w:right w:val="nil"/>
            </w:tcBorders>
            <w:vAlign w:val="bottom"/>
          </w:tcPr>
          <w:p w14:paraId="6878A88B" w14:textId="77777777" w:rsidR="00226BC6" w:rsidRPr="00103C39" w:rsidRDefault="00226BC6" w:rsidP="00226BC6">
            <w:pPr>
              <w:tabs>
                <w:tab w:val="decimal" w:pos="288"/>
              </w:tabs>
              <w:spacing w:after="0" w:line="240" w:lineRule="auto"/>
              <w:rPr>
                <w:rFonts w:ascii="Times New Roman" w:hAnsi="Times New Roman"/>
                <w:sz w:val="20"/>
                <w:szCs w:val="20"/>
              </w:rPr>
            </w:pPr>
            <w:r>
              <w:rPr>
                <w:rFonts w:ascii="Times New Roman" w:hAnsi="Times New Roman"/>
                <w:sz w:val="20"/>
                <w:szCs w:val="20"/>
              </w:rPr>
              <w:t>0.734</w:t>
            </w:r>
          </w:p>
        </w:tc>
        <w:tc>
          <w:tcPr>
            <w:tcW w:w="1160" w:type="dxa"/>
            <w:tcBorders>
              <w:top w:val="nil"/>
              <w:left w:val="nil"/>
              <w:bottom w:val="nil"/>
              <w:right w:val="nil"/>
            </w:tcBorders>
            <w:vAlign w:val="bottom"/>
          </w:tcPr>
          <w:p w14:paraId="77E6C7DE" w14:textId="77777777" w:rsidR="00226BC6" w:rsidRPr="00103C39" w:rsidRDefault="00226BC6" w:rsidP="00226BC6">
            <w:pPr>
              <w:tabs>
                <w:tab w:val="decimal" w:pos="288"/>
              </w:tabs>
              <w:spacing w:after="0" w:line="240" w:lineRule="auto"/>
              <w:rPr>
                <w:rFonts w:ascii="Times New Roman" w:hAnsi="Times New Roman"/>
                <w:sz w:val="20"/>
                <w:szCs w:val="20"/>
              </w:rPr>
            </w:pPr>
            <w:r>
              <w:rPr>
                <w:rFonts w:ascii="Times New Roman" w:hAnsi="Times New Roman"/>
                <w:sz w:val="20"/>
                <w:szCs w:val="20"/>
              </w:rPr>
              <w:t>0.748</w:t>
            </w:r>
          </w:p>
        </w:tc>
      </w:tr>
      <w:tr w:rsidR="00226BC6" w:rsidRPr="00103C39" w14:paraId="37846459" w14:textId="77777777" w:rsidTr="007D794A">
        <w:trPr>
          <w:trHeight w:val="264"/>
        </w:trPr>
        <w:tc>
          <w:tcPr>
            <w:tcW w:w="2303" w:type="dxa"/>
            <w:tcBorders>
              <w:top w:val="nil"/>
              <w:left w:val="nil"/>
              <w:bottom w:val="nil"/>
              <w:right w:val="nil"/>
            </w:tcBorders>
            <w:noWrap/>
            <w:vAlign w:val="bottom"/>
            <w:hideMark/>
          </w:tcPr>
          <w:p w14:paraId="531DFED0" w14:textId="77777777" w:rsidR="00226BC6" w:rsidRPr="00103C39" w:rsidRDefault="00226BC6" w:rsidP="00226BC6">
            <w:pPr>
              <w:spacing w:after="0" w:line="240" w:lineRule="auto"/>
              <w:jc w:val="right"/>
              <w:rPr>
                <w:rFonts w:ascii="Times New Roman" w:hAnsi="Times New Roman"/>
                <w:sz w:val="20"/>
                <w:szCs w:val="20"/>
              </w:rPr>
            </w:pPr>
            <w:r w:rsidRPr="00103C39">
              <w:rPr>
                <w:rFonts w:ascii="Times New Roman" w:hAnsi="Times New Roman"/>
                <w:sz w:val="20"/>
                <w:szCs w:val="20"/>
              </w:rPr>
              <w:t>20-22</w:t>
            </w:r>
          </w:p>
        </w:tc>
        <w:tc>
          <w:tcPr>
            <w:tcW w:w="1208" w:type="dxa"/>
            <w:tcBorders>
              <w:top w:val="nil"/>
              <w:left w:val="nil"/>
              <w:bottom w:val="nil"/>
              <w:right w:val="nil"/>
            </w:tcBorders>
            <w:noWrap/>
            <w:vAlign w:val="bottom"/>
            <w:hideMark/>
          </w:tcPr>
          <w:p w14:paraId="40C54ACD" w14:textId="77777777" w:rsidR="00226BC6" w:rsidRPr="00103C39" w:rsidRDefault="00226BC6" w:rsidP="00226BC6">
            <w:pPr>
              <w:tabs>
                <w:tab w:val="decimal" w:pos="360"/>
              </w:tabs>
              <w:spacing w:after="0" w:line="240" w:lineRule="auto"/>
              <w:rPr>
                <w:rFonts w:ascii="Times New Roman" w:hAnsi="Times New Roman"/>
                <w:sz w:val="20"/>
                <w:szCs w:val="20"/>
              </w:rPr>
            </w:pPr>
            <w:r w:rsidRPr="00103C39">
              <w:rPr>
                <w:rFonts w:ascii="Times New Roman" w:hAnsi="Times New Roman"/>
                <w:sz w:val="20"/>
                <w:szCs w:val="20"/>
              </w:rPr>
              <w:t>0.108</w:t>
            </w:r>
          </w:p>
        </w:tc>
        <w:tc>
          <w:tcPr>
            <w:tcW w:w="1208" w:type="dxa"/>
            <w:tcBorders>
              <w:top w:val="nil"/>
              <w:left w:val="nil"/>
              <w:bottom w:val="nil"/>
              <w:right w:val="nil"/>
            </w:tcBorders>
            <w:noWrap/>
            <w:vAlign w:val="bottom"/>
            <w:hideMark/>
          </w:tcPr>
          <w:p w14:paraId="6BD3811F" w14:textId="77777777" w:rsidR="00226BC6" w:rsidRPr="00103C39" w:rsidRDefault="00226BC6" w:rsidP="00226BC6">
            <w:pPr>
              <w:tabs>
                <w:tab w:val="decimal" w:pos="360"/>
              </w:tabs>
              <w:spacing w:after="0" w:line="240" w:lineRule="auto"/>
              <w:rPr>
                <w:rFonts w:ascii="Times New Roman" w:hAnsi="Times New Roman"/>
                <w:sz w:val="20"/>
                <w:szCs w:val="20"/>
              </w:rPr>
            </w:pPr>
            <w:r w:rsidRPr="00103C39">
              <w:rPr>
                <w:rFonts w:ascii="Times New Roman" w:hAnsi="Times New Roman"/>
                <w:sz w:val="20"/>
                <w:szCs w:val="20"/>
              </w:rPr>
              <w:t>0.089</w:t>
            </w:r>
          </w:p>
        </w:tc>
        <w:tc>
          <w:tcPr>
            <w:tcW w:w="1208" w:type="dxa"/>
            <w:tcBorders>
              <w:top w:val="nil"/>
              <w:left w:val="nil"/>
              <w:bottom w:val="nil"/>
              <w:right w:val="nil"/>
            </w:tcBorders>
            <w:noWrap/>
            <w:vAlign w:val="bottom"/>
            <w:hideMark/>
          </w:tcPr>
          <w:p w14:paraId="2C0D7C9F" w14:textId="77777777" w:rsidR="00226BC6" w:rsidRPr="00103C39" w:rsidRDefault="00226BC6" w:rsidP="00226BC6">
            <w:pPr>
              <w:tabs>
                <w:tab w:val="decimal" w:pos="288"/>
              </w:tabs>
              <w:spacing w:after="0" w:line="240" w:lineRule="auto"/>
              <w:rPr>
                <w:rFonts w:ascii="Times New Roman" w:hAnsi="Times New Roman"/>
                <w:sz w:val="20"/>
                <w:szCs w:val="20"/>
              </w:rPr>
            </w:pPr>
            <w:r>
              <w:rPr>
                <w:rFonts w:ascii="Times New Roman" w:hAnsi="Times New Roman"/>
                <w:sz w:val="20"/>
                <w:szCs w:val="20"/>
              </w:rPr>
              <w:t>0.098</w:t>
            </w:r>
          </w:p>
        </w:tc>
        <w:tc>
          <w:tcPr>
            <w:tcW w:w="1113" w:type="dxa"/>
            <w:tcBorders>
              <w:top w:val="nil"/>
              <w:left w:val="nil"/>
              <w:bottom w:val="nil"/>
              <w:right w:val="nil"/>
            </w:tcBorders>
            <w:vAlign w:val="bottom"/>
          </w:tcPr>
          <w:p w14:paraId="1C72AB11" w14:textId="77777777" w:rsidR="00226BC6" w:rsidRPr="00103C39" w:rsidRDefault="00226BC6" w:rsidP="00226BC6">
            <w:pPr>
              <w:tabs>
                <w:tab w:val="decimal" w:pos="288"/>
              </w:tabs>
              <w:spacing w:after="0" w:line="240" w:lineRule="auto"/>
              <w:rPr>
                <w:rFonts w:ascii="Times New Roman" w:hAnsi="Times New Roman"/>
                <w:sz w:val="20"/>
                <w:szCs w:val="20"/>
              </w:rPr>
            </w:pPr>
            <w:r>
              <w:rPr>
                <w:rFonts w:ascii="Times New Roman" w:hAnsi="Times New Roman"/>
                <w:sz w:val="20"/>
                <w:szCs w:val="20"/>
              </w:rPr>
              <w:t>0.106</w:t>
            </w:r>
          </w:p>
        </w:tc>
        <w:tc>
          <w:tcPr>
            <w:tcW w:w="1160" w:type="dxa"/>
            <w:tcBorders>
              <w:top w:val="nil"/>
              <w:left w:val="nil"/>
              <w:bottom w:val="nil"/>
              <w:right w:val="nil"/>
            </w:tcBorders>
            <w:vAlign w:val="bottom"/>
          </w:tcPr>
          <w:p w14:paraId="761973B4" w14:textId="77777777" w:rsidR="00226BC6" w:rsidRPr="00103C39" w:rsidRDefault="00226BC6" w:rsidP="00226BC6">
            <w:pPr>
              <w:tabs>
                <w:tab w:val="decimal" w:pos="288"/>
              </w:tabs>
              <w:spacing w:after="0" w:line="240" w:lineRule="auto"/>
              <w:rPr>
                <w:rFonts w:ascii="Times New Roman" w:hAnsi="Times New Roman"/>
                <w:sz w:val="20"/>
                <w:szCs w:val="20"/>
              </w:rPr>
            </w:pPr>
            <w:r>
              <w:rPr>
                <w:rFonts w:ascii="Times New Roman" w:hAnsi="Times New Roman"/>
                <w:sz w:val="20"/>
                <w:szCs w:val="20"/>
              </w:rPr>
              <w:t>0.087</w:t>
            </w:r>
          </w:p>
        </w:tc>
        <w:tc>
          <w:tcPr>
            <w:tcW w:w="1160" w:type="dxa"/>
            <w:tcBorders>
              <w:top w:val="nil"/>
              <w:left w:val="nil"/>
              <w:bottom w:val="nil"/>
              <w:right w:val="nil"/>
            </w:tcBorders>
            <w:vAlign w:val="bottom"/>
          </w:tcPr>
          <w:p w14:paraId="4978BA00" w14:textId="77777777" w:rsidR="00226BC6" w:rsidRPr="00103C39" w:rsidRDefault="00226BC6" w:rsidP="00226BC6">
            <w:pPr>
              <w:tabs>
                <w:tab w:val="decimal" w:pos="288"/>
              </w:tabs>
              <w:spacing w:after="0" w:line="240" w:lineRule="auto"/>
              <w:rPr>
                <w:rFonts w:ascii="Times New Roman" w:hAnsi="Times New Roman"/>
                <w:sz w:val="20"/>
                <w:szCs w:val="20"/>
              </w:rPr>
            </w:pPr>
            <w:r>
              <w:rPr>
                <w:rFonts w:ascii="Times New Roman" w:hAnsi="Times New Roman"/>
                <w:sz w:val="20"/>
                <w:szCs w:val="20"/>
              </w:rPr>
              <w:t>0.104</w:t>
            </w:r>
          </w:p>
        </w:tc>
      </w:tr>
      <w:tr w:rsidR="00226BC6" w:rsidRPr="00103C39" w14:paraId="5E2B7DD6" w14:textId="77777777" w:rsidTr="007D794A">
        <w:trPr>
          <w:trHeight w:val="264"/>
        </w:trPr>
        <w:tc>
          <w:tcPr>
            <w:tcW w:w="2303" w:type="dxa"/>
            <w:tcBorders>
              <w:top w:val="nil"/>
              <w:left w:val="nil"/>
              <w:bottom w:val="nil"/>
              <w:right w:val="nil"/>
            </w:tcBorders>
            <w:noWrap/>
            <w:vAlign w:val="bottom"/>
            <w:hideMark/>
          </w:tcPr>
          <w:p w14:paraId="6D0A75B5" w14:textId="77777777" w:rsidR="00226BC6" w:rsidRPr="00103C39" w:rsidRDefault="00226BC6" w:rsidP="00226BC6">
            <w:pPr>
              <w:spacing w:after="0" w:line="240" w:lineRule="auto"/>
              <w:jc w:val="right"/>
              <w:rPr>
                <w:rFonts w:ascii="Times New Roman" w:hAnsi="Times New Roman"/>
                <w:sz w:val="20"/>
                <w:szCs w:val="20"/>
              </w:rPr>
            </w:pPr>
            <w:r w:rsidRPr="00103C39">
              <w:rPr>
                <w:rFonts w:ascii="Times New Roman" w:hAnsi="Times New Roman"/>
                <w:sz w:val="20"/>
                <w:szCs w:val="20"/>
              </w:rPr>
              <w:t>23-25</w:t>
            </w:r>
          </w:p>
        </w:tc>
        <w:tc>
          <w:tcPr>
            <w:tcW w:w="1208" w:type="dxa"/>
            <w:tcBorders>
              <w:top w:val="nil"/>
              <w:left w:val="nil"/>
              <w:bottom w:val="nil"/>
              <w:right w:val="nil"/>
            </w:tcBorders>
            <w:noWrap/>
            <w:vAlign w:val="bottom"/>
            <w:hideMark/>
          </w:tcPr>
          <w:p w14:paraId="4552969E" w14:textId="77777777" w:rsidR="00226BC6" w:rsidRPr="00103C39" w:rsidRDefault="00226BC6" w:rsidP="00226BC6">
            <w:pPr>
              <w:tabs>
                <w:tab w:val="decimal" w:pos="360"/>
              </w:tabs>
              <w:spacing w:after="0" w:line="240" w:lineRule="auto"/>
              <w:rPr>
                <w:rFonts w:ascii="Times New Roman" w:hAnsi="Times New Roman"/>
                <w:sz w:val="20"/>
                <w:szCs w:val="20"/>
              </w:rPr>
            </w:pPr>
            <w:r w:rsidRPr="00103C39">
              <w:rPr>
                <w:rFonts w:ascii="Times New Roman" w:hAnsi="Times New Roman"/>
                <w:sz w:val="20"/>
                <w:szCs w:val="20"/>
              </w:rPr>
              <w:t>0.057</w:t>
            </w:r>
          </w:p>
        </w:tc>
        <w:tc>
          <w:tcPr>
            <w:tcW w:w="1208" w:type="dxa"/>
            <w:tcBorders>
              <w:top w:val="nil"/>
              <w:left w:val="nil"/>
              <w:bottom w:val="nil"/>
              <w:right w:val="nil"/>
            </w:tcBorders>
            <w:noWrap/>
            <w:vAlign w:val="bottom"/>
            <w:hideMark/>
          </w:tcPr>
          <w:p w14:paraId="0C68FA9A" w14:textId="77777777" w:rsidR="00226BC6" w:rsidRPr="00103C39" w:rsidRDefault="00226BC6" w:rsidP="00226BC6">
            <w:pPr>
              <w:tabs>
                <w:tab w:val="decimal" w:pos="360"/>
              </w:tabs>
              <w:spacing w:after="0" w:line="240" w:lineRule="auto"/>
              <w:rPr>
                <w:rFonts w:ascii="Times New Roman" w:hAnsi="Times New Roman"/>
                <w:sz w:val="20"/>
                <w:szCs w:val="20"/>
              </w:rPr>
            </w:pPr>
            <w:r w:rsidRPr="00103C39">
              <w:rPr>
                <w:rFonts w:ascii="Times New Roman" w:hAnsi="Times New Roman"/>
                <w:sz w:val="20"/>
                <w:szCs w:val="20"/>
              </w:rPr>
              <w:t>0.041</w:t>
            </w:r>
          </w:p>
        </w:tc>
        <w:tc>
          <w:tcPr>
            <w:tcW w:w="1208" w:type="dxa"/>
            <w:tcBorders>
              <w:top w:val="nil"/>
              <w:left w:val="nil"/>
              <w:bottom w:val="nil"/>
              <w:right w:val="nil"/>
            </w:tcBorders>
            <w:noWrap/>
            <w:vAlign w:val="bottom"/>
            <w:hideMark/>
          </w:tcPr>
          <w:p w14:paraId="32629933" w14:textId="77777777" w:rsidR="00226BC6" w:rsidRPr="00103C39" w:rsidRDefault="00226BC6" w:rsidP="00226BC6">
            <w:pPr>
              <w:tabs>
                <w:tab w:val="decimal" w:pos="288"/>
              </w:tabs>
              <w:spacing w:after="0" w:line="240" w:lineRule="auto"/>
              <w:rPr>
                <w:rFonts w:ascii="Times New Roman" w:hAnsi="Times New Roman"/>
                <w:sz w:val="20"/>
                <w:szCs w:val="20"/>
              </w:rPr>
            </w:pPr>
            <w:r>
              <w:rPr>
                <w:rFonts w:ascii="Times New Roman" w:hAnsi="Times New Roman"/>
                <w:sz w:val="20"/>
                <w:szCs w:val="20"/>
              </w:rPr>
              <w:t>0.047</w:t>
            </w:r>
          </w:p>
        </w:tc>
        <w:tc>
          <w:tcPr>
            <w:tcW w:w="1113" w:type="dxa"/>
            <w:tcBorders>
              <w:top w:val="nil"/>
              <w:left w:val="nil"/>
              <w:bottom w:val="nil"/>
              <w:right w:val="nil"/>
            </w:tcBorders>
            <w:vAlign w:val="bottom"/>
          </w:tcPr>
          <w:p w14:paraId="0B9BF64C" w14:textId="77777777" w:rsidR="00226BC6" w:rsidRPr="00103C39" w:rsidRDefault="00226BC6" w:rsidP="00226BC6">
            <w:pPr>
              <w:tabs>
                <w:tab w:val="decimal" w:pos="288"/>
              </w:tabs>
              <w:spacing w:after="0" w:line="240" w:lineRule="auto"/>
              <w:rPr>
                <w:rFonts w:ascii="Times New Roman" w:hAnsi="Times New Roman"/>
                <w:sz w:val="20"/>
                <w:szCs w:val="20"/>
              </w:rPr>
            </w:pPr>
            <w:r>
              <w:rPr>
                <w:rFonts w:ascii="Times New Roman" w:hAnsi="Times New Roman"/>
                <w:sz w:val="20"/>
                <w:szCs w:val="20"/>
              </w:rPr>
              <w:t>0.038</w:t>
            </w:r>
          </w:p>
        </w:tc>
        <w:tc>
          <w:tcPr>
            <w:tcW w:w="1160" w:type="dxa"/>
            <w:tcBorders>
              <w:top w:val="nil"/>
              <w:left w:val="nil"/>
              <w:bottom w:val="nil"/>
              <w:right w:val="nil"/>
            </w:tcBorders>
            <w:vAlign w:val="bottom"/>
          </w:tcPr>
          <w:p w14:paraId="794480FF" w14:textId="77777777" w:rsidR="00226BC6" w:rsidRPr="00103C39" w:rsidRDefault="00226BC6" w:rsidP="00226BC6">
            <w:pPr>
              <w:tabs>
                <w:tab w:val="decimal" w:pos="288"/>
              </w:tabs>
              <w:spacing w:after="0" w:line="240" w:lineRule="auto"/>
              <w:rPr>
                <w:rFonts w:ascii="Times New Roman" w:hAnsi="Times New Roman"/>
                <w:sz w:val="20"/>
                <w:szCs w:val="20"/>
              </w:rPr>
            </w:pPr>
            <w:r>
              <w:rPr>
                <w:rFonts w:ascii="Times New Roman" w:hAnsi="Times New Roman"/>
                <w:sz w:val="20"/>
                <w:szCs w:val="20"/>
              </w:rPr>
              <w:t>0.041</w:t>
            </w:r>
          </w:p>
        </w:tc>
        <w:tc>
          <w:tcPr>
            <w:tcW w:w="1160" w:type="dxa"/>
            <w:tcBorders>
              <w:top w:val="nil"/>
              <w:left w:val="nil"/>
              <w:bottom w:val="nil"/>
              <w:right w:val="nil"/>
            </w:tcBorders>
            <w:vAlign w:val="bottom"/>
          </w:tcPr>
          <w:p w14:paraId="5415AA1A" w14:textId="77777777" w:rsidR="00226BC6" w:rsidRPr="00103C39" w:rsidRDefault="00226BC6" w:rsidP="00226BC6">
            <w:pPr>
              <w:tabs>
                <w:tab w:val="decimal" w:pos="288"/>
              </w:tabs>
              <w:spacing w:after="0" w:line="240" w:lineRule="auto"/>
              <w:rPr>
                <w:rFonts w:ascii="Times New Roman" w:hAnsi="Times New Roman"/>
                <w:sz w:val="20"/>
                <w:szCs w:val="20"/>
              </w:rPr>
            </w:pPr>
            <w:r>
              <w:rPr>
                <w:rFonts w:ascii="Times New Roman" w:hAnsi="Times New Roman"/>
                <w:sz w:val="20"/>
                <w:szCs w:val="20"/>
              </w:rPr>
              <w:t>0.042</w:t>
            </w:r>
          </w:p>
        </w:tc>
      </w:tr>
      <w:tr w:rsidR="00226BC6" w:rsidRPr="00103C39" w14:paraId="2EFAE328" w14:textId="77777777" w:rsidTr="007D794A">
        <w:trPr>
          <w:trHeight w:val="264"/>
        </w:trPr>
        <w:tc>
          <w:tcPr>
            <w:tcW w:w="2303" w:type="dxa"/>
            <w:tcBorders>
              <w:top w:val="nil"/>
              <w:left w:val="nil"/>
              <w:bottom w:val="nil"/>
              <w:right w:val="nil"/>
            </w:tcBorders>
            <w:noWrap/>
            <w:vAlign w:val="bottom"/>
            <w:hideMark/>
          </w:tcPr>
          <w:p w14:paraId="45876524" w14:textId="77777777" w:rsidR="00226BC6" w:rsidRPr="00103C39" w:rsidRDefault="00226BC6" w:rsidP="00226BC6">
            <w:pPr>
              <w:spacing w:after="0" w:line="240" w:lineRule="auto"/>
              <w:jc w:val="right"/>
              <w:rPr>
                <w:rFonts w:ascii="Times New Roman" w:hAnsi="Times New Roman"/>
                <w:sz w:val="20"/>
                <w:szCs w:val="20"/>
              </w:rPr>
            </w:pPr>
            <w:r w:rsidRPr="00103C39">
              <w:rPr>
                <w:rFonts w:ascii="Times New Roman" w:hAnsi="Times New Roman"/>
                <w:sz w:val="20"/>
                <w:szCs w:val="20"/>
              </w:rPr>
              <w:t>26-30</w:t>
            </w:r>
          </w:p>
        </w:tc>
        <w:tc>
          <w:tcPr>
            <w:tcW w:w="1208" w:type="dxa"/>
            <w:tcBorders>
              <w:top w:val="nil"/>
              <w:left w:val="nil"/>
              <w:bottom w:val="nil"/>
              <w:right w:val="nil"/>
            </w:tcBorders>
            <w:noWrap/>
            <w:vAlign w:val="bottom"/>
            <w:hideMark/>
          </w:tcPr>
          <w:p w14:paraId="763FED37" w14:textId="77777777" w:rsidR="00226BC6" w:rsidRPr="00103C39" w:rsidRDefault="00226BC6" w:rsidP="00226BC6">
            <w:pPr>
              <w:tabs>
                <w:tab w:val="decimal" w:pos="360"/>
              </w:tabs>
              <w:spacing w:after="0" w:line="240" w:lineRule="auto"/>
              <w:rPr>
                <w:rFonts w:ascii="Times New Roman" w:hAnsi="Times New Roman"/>
                <w:sz w:val="20"/>
                <w:szCs w:val="20"/>
              </w:rPr>
            </w:pPr>
            <w:r w:rsidRPr="00103C39">
              <w:rPr>
                <w:rFonts w:ascii="Times New Roman" w:hAnsi="Times New Roman"/>
                <w:sz w:val="20"/>
                <w:szCs w:val="20"/>
              </w:rPr>
              <w:t>0.066</w:t>
            </w:r>
          </w:p>
        </w:tc>
        <w:tc>
          <w:tcPr>
            <w:tcW w:w="1208" w:type="dxa"/>
            <w:tcBorders>
              <w:top w:val="nil"/>
              <w:left w:val="nil"/>
              <w:bottom w:val="nil"/>
              <w:right w:val="nil"/>
            </w:tcBorders>
            <w:noWrap/>
            <w:vAlign w:val="bottom"/>
            <w:hideMark/>
          </w:tcPr>
          <w:p w14:paraId="0D7C60B4" w14:textId="77777777" w:rsidR="00226BC6" w:rsidRPr="00103C39" w:rsidRDefault="00226BC6" w:rsidP="00226BC6">
            <w:pPr>
              <w:tabs>
                <w:tab w:val="decimal" w:pos="360"/>
              </w:tabs>
              <w:spacing w:after="0" w:line="240" w:lineRule="auto"/>
              <w:rPr>
                <w:rFonts w:ascii="Times New Roman" w:hAnsi="Times New Roman"/>
                <w:sz w:val="20"/>
                <w:szCs w:val="20"/>
              </w:rPr>
            </w:pPr>
            <w:r w:rsidRPr="00103C39">
              <w:rPr>
                <w:rFonts w:ascii="Times New Roman" w:hAnsi="Times New Roman"/>
                <w:sz w:val="20"/>
                <w:szCs w:val="20"/>
              </w:rPr>
              <w:t>0.039</w:t>
            </w:r>
          </w:p>
        </w:tc>
        <w:tc>
          <w:tcPr>
            <w:tcW w:w="1208" w:type="dxa"/>
            <w:tcBorders>
              <w:top w:val="nil"/>
              <w:left w:val="nil"/>
              <w:bottom w:val="nil"/>
              <w:right w:val="nil"/>
            </w:tcBorders>
            <w:noWrap/>
            <w:vAlign w:val="bottom"/>
            <w:hideMark/>
          </w:tcPr>
          <w:p w14:paraId="77968778" w14:textId="77777777" w:rsidR="00226BC6" w:rsidRPr="00103C39" w:rsidRDefault="00226BC6" w:rsidP="00226BC6">
            <w:pPr>
              <w:tabs>
                <w:tab w:val="decimal" w:pos="288"/>
              </w:tabs>
              <w:spacing w:after="0" w:line="240" w:lineRule="auto"/>
              <w:rPr>
                <w:rFonts w:ascii="Times New Roman" w:hAnsi="Times New Roman"/>
                <w:sz w:val="20"/>
                <w:szCs w:val="20"/>
              </w:rPr>
            </w:pPr>
            <w:r>
              <w:rPr>
                <w:rFonts w:ascii="Times New Roman" w:hAnsi="Times New Roman"/>
                <w:sz w:val="20"/>
                <w:szCs w:val="20"/>
              </w:rPr>
              <w:t>0.049</w:t>
            </w:r>
          </w:p>
        </w:tc>
        <w:tc>
          <w:tcPr>
            <w:tcW w:w="1113" w:type="dxa"/>
            <w:tcBorders>
              <w:top w:val="nil"/>
              <w:left w:val="nil"/>
              <w:bottom w:val="nil"/>
              <w:right w:val="nil"/>
            </w:tcBorders>
            <w:vAlign w:val="bottom"/>
          </w:tcPr>
          <w:p w14:paraId="64D7FBA1" w14:textId="77777777" w:rsidR="00226BC6" w:rsidRPr="00103C39" w:rsidRDefault="00226BC6" w:rsidP="00226BC6">
            <w:pPr>
              <w:tabs>
                <w:tab w:val="decimal" w:pos="288"/>
              </w:tabs>
              <w:spacing w:after="0" w:line="240" w:lineRule="auto"/>
              <w:rPr>
                <w:rFonts w:ascii="Times New Roman" w:hAnsi="Times New Roman"/>
                <w:sz w:val="20"/>
                <w:szCs w:val="20"/>
              </w:rPr>
            </w:pPr>
            <w:r>
              <w:rPr>
                <w:rFonts w:ascii="Times New Roman" w:hAnsi="Times New Roman"/>
                <w:sz w:val="20"/>
                <w:szCs w:val="20"/>
              </w:rPr>
              <w:t>0.026</w:t>
            </w:r>
          </w:p>
        </w:tc>
        <w:tc>
          <w:tcPr>
            <w:tcW w:w="1160" w:type="dxa"/>
            <w:tcBorders>
              <w:top w:val="nil"/>
              <w:left w:val="nil"/>
              <w:bottom w:val="nil"/>
              <w:right w:val="nil"/>
            </w:tcBorders>
            <w:vAlign w:val="bottom"/>
          </w:tcPr>
          <w:p w14:paraId="4CDD4533" w14:textId="77777777" w:rsidR="00226BC6" w:rsidRPr="00103C39" w:rsidRDefault="00226BC6" w:rsidP="00226BC6">
            <w:pPr>
              <w:tabs>
                <w:tab w:val="decimal" w:pos="288"/>
              </w:tabs>
              <w:spacing w:after="0" w:line="240" w:lineRule="auto"/>
              <w:rPr>
                <w:rFonts w:ascii="Times New Roman" w:hAnsi="Times New Roman"/>
                <w:sz w:val="20"/>
                <w:szCs w:val="20"/>
              </w:rPr>
            </w:pPr>
            <w:r>
              <w:rPr>
                <w:rFonts w:ascii="Times New Roman" w:hAnsi="Times New Roman"/>
                <w:sz w:val="20"/>
                <w:szCs w:val="20"/>
              </w:rPr>
              <w:t>0.039</w:t>
            </w:r>
          </w:p>
        </w:tc>
        <w:tc>
          <w:tcPr>
            <w:tcW w:w="1160" w:type="dxa"/>
            <w:tcBorders>
              <w:top w:val="nil"/>
              <w:left w:val="nil"/>
              <w:bottom w:val="nil"/>
              <w:right w:val="nil"/>
            </w:tcBorders>
            <w:vAlign w:val="bottom"/>
          </w:tcPr>
          <w:p w14:paraId="5FB49D14" w14:textId="77777777" w:rsidR="00226BC6" w:rsidRPr="00103C39" w:rsidRDefault="00226BC6" w:rsidP="00226BC6">
            <w:pPr>
              <w:tabs>
                <w:tab w:val="decimal" w:pos="288"/>
              </w:tabs>
              <w:spacing w:after="0" w:line="240" w:lineRule="auto"/>
              <w:rPr>
                <w:rFonts w:ascii="Times New Roman" w:hAnsi="Times New Roman"/>
                <w:sz w:val="20"/>
                <w:szCs w:val="20"/>
              </w:rPr>
            </w:pPr>
            <w:r>
              <w:rPr>
                <w:rFonts w:ascii="Times New Roman" w:hAnsi="Times New Roman"/>
                <w:sz w:val="20"/>
                <w:szCs w:val="20"/>
              </w:rPr>
              <w:t>0.032</w:t>
            </w:r>
          </w:p>
        </w:tc>
      </w:tr>
      <w:tr w:rsidR="00226BC6" w:rsidRPr="00103C39" w14:paraId="5E115093" w14:textId="77777777" w:rsidTr="007D794A">
        <w:trPr>
          <w:trHeight w:val="264"/>
        </w:trPr>
        <w:tc>
          <w:tcPr>
            <w:tcW w:w="2303" w:type="dxa"/>
            <w:tcBorders>
              <w:top w:val="nil"/>
              <w:left w:val="nil"/>
              <w:bottom w:val="nil"/>
              <w:right w:val="nil"/>
            </w:tcBorders>
            <w:noWrap/>
            <w:vAlign w:val="bottom"/>
            <w:hideMark/>
          </w:tcPr>
          <w:p w14:paraId="69E935AB" w14:textId="77777777" w:rsidR="00226BC6" w:rsidRPr="00103C39" w:rsidRDefault="00226BC6" w:rsidP="00226BC6">
            <w:pPr>
              <w:spacing w:after="0" w:line="240" w:lineRule="auto"/>
              <w:jc w:val="right"/>
              <w:rPr>
                <w:rFonts w:ascii="Times New Roman" w:hAnsi="Times New Roman"/>
                <w:sz w:val="20"/>
                <w:szCs w:val="20"/>
              </w:rPr>
            </w:pPr>
            <w:r w:rsidRPr="00103C39">
              <w:rPr>
                <w:rFonts w:ascii="Times New Roman" w:hAnsi="Times New Roman"/>
                <w:sz w:val="20"/>
                <w:szCs w:val="20"/>
              </w:rPr>
              <w:t>31-40</w:t>
            </w:r>
          </w:p>
        </w:tc>
        <w:tc>
          <w:tcPr>
            <w:tcW w:w="1208" w:type="dxa"/>
            <w:tcBorders>
              <w:top w:val="nil"/>
              <w:left w:val="nil"/>
              <w:bottom w:val="nil"/>
              <w:right w:val="nil"/>
            </w:tcBorders>
            <w:noWrap/>
            <w:vAlign w:val="bottom"/>
            <w:hideMark/>
          </w:tcPr>
          <w:p w14:paraId="32BCCD8B" w14:textId="77777777" w:rsidR="00226BC6" w:rsidRPr="00103C39" w:rsidRDefault="00226BC6" w:rsidP="00226BC6">
            <w:pPr>
              <w:tabs>
                <w:tab w:val="decimal" w:pos="360"/>
              </w:tabs>
              <w:spacing w:after="0" w:line="240" w:lineRule="auto"/>
              <w:rPr>
                <w:rFonts w:ascii="Times New Roman" w:hAnsi="Times New Roman"/>
                <w:sz w:val="20"/>
                <w:szCs w:val="20"/>
              </w:rPr>
            </w:pPr>
            <w:r w:rsidRPr="00103C39">
              <w:rPr>
                <w:rFonts w:ascii="Times New Roman" w:hAnsi="Times New Roman"/>
                <w:sz w:val="20"/>
                <w:szCs w:val="20"/>
              </w:rPr>
              <w:t>0.116</w:t>
            </w:r>
          </w:p>
        </w:tc>
        <w:tc>
          <w:tcPr>
            <w:tcW w:w="1208" w:type="dxa"/>
            <w:tcBorders>
              <w:top w:val="nil"/>
              <w:left w:val="nil"/>
              <w:bottom w:val="nil"/>
              <w:right w:val="nil"/>
            </w:tcBorders>
            <w:noWrap/>
            <w:vAlign w:val="bottom"/>
            <w:hideMark/>
          </w:tcPr>
          <w:p w14:paraId="102620F8" w14:textId="77777777" w:rsidR="00226BC6" w:rsidRPr="00103C39" w:rsidRDefault="00226BC6" w:rsidP="00226BC6">
            <w:pPr>
              <w:tabs>
                <w:tab w:val="decimal" w:pos="360"/>
              </w:tabs>
              <w:spacing w:after="0" w:line="240" w:lineRule="auto"/>
              <w:rPr>
                <w:rFonts w:ascii="Times New Roman" w:hAnsi="Times New Roman"/>
                <w:sz w:val="20"/>
                <w:szCs w:val="20"/>
              </w:rPr>
            </w:pPr>
            <w:r w:rsidRPr="00103C39">
              <w:rPr>
                <w:rFonts w:ascii="Times New Roman" w:hAnsi="Times New Roman"/>
                <w:sz w:val="20"/>
                <w:szCs w:val="20"/>
              </w:rPr>
              <w:t>0.053</w:t>
            </w:r>
          </w:p>
        </w:tc>
        <w:tc>
          <w:tcPr>
            <w:tcW w:w="1208" w:type="dxa"/>
            <w:tcBorders>
              <w:top w:val="nil"/>
              <w:left w:val="nil"/>
              <w:bottom w:val="nil"/>
              <w:right w:val="nil"/>
            </w:tcBorders>
            <w:noWrap/>
            <w:vAlign w:val="bottom"/>
            <w:hideMark/>
          </w:tcPr>
          <w:p w14:paraId="21CB8AE9" w14:textId="77777777" w:rsidR="00226BC6" w:rsidRPr="00103C39" w:rsidRDefault="00226BC6" w:rsidP="00226BC6">
            <w:pPr>
              <w:tabs>
                <w:tab w:val="decimal" w:pos="288"/>
              </w:tabs>
              <w:spacing w:after="0" w:line="240" w:lineRule="auto"/>
              <w:rPr>
                <w:rFonts w:ascii="Times New Roman" w:hAnsi="Times New Roman"/>
                <w:sz w:val="20"/>
                <w:szCs w:val="20"/>
              </w:rPr>
            </w:pPr>
            <w:r>
              <w:rPr>
                <w:rFonts w:ascii="Times New Roman" w:hAnsi="Times New Roman"/>
                <w:sz w:val="20"/>
                <w:szCs w:val="20"/>
              </w:rPr>
              <w:t>0.071</w:t>
            </w:r>
          </w:p>
        </w:tc>
        <w:tc>
          <w:tcPr>
            <w:tcW w:w="1113" w:type="dxa"/>
            <w:tcBorders>
              <w:top w:val="nil"/>
              <w:left w:val="nil"/>
              <w:bottom w:val="nil"/>
              <w:right w:val="nil"/>
            </w:tcBorders>
            <w:vAlign w:val="bottom"/>
          </w:tcPr>
          <w:p w14:paraId="189CC4B2" w14:textId="77777777" w:rsidR="00226BC6" w:rsidRPr="00103C39" w:rsidRDefault="00226BC6" w:rsidP="00226BC6">
            <w:pPr>
              <w:tabs>
                <w:tab w:val="decimal" w:pos="288"/>
              </w:tabs>
              <w:spacing w:after="0" w:line="240" w:lineRule="auto"/>
              <w:rPr>
                <w:rFonts w:ascii="Times New Roman" w:hAnsi="Times New Roman"/>
                <w:sz w:val="20"/>
                <w:szCs w:val="20"/>
              </w:rPr>
            </w:pPr>
            <w:r>
              <w:rPr>
                <w:rFonts w:ascii="Times New Roman" w:hAnsi="Times New Roman"/>
                <w:sz w:val="20"/>
                <w:szCs w:val="20"/>
              </w:rPr>
              <w:t>0.022</w:t>
            </w:r>
          </w:p>
        </w:tc>
        <w:tc>
          <w:tcPr>
            <w:tcW w:w="1160" w:type="dxa"/>
            <w:tcBorders>
              <w:top w:val="nil"/>
              <w:left w:val="nil"/>
              <w:bottom w:val="nil"/>
              <w:right w:val="nil"/>
            </w:tcBorders>
            <w:vAlign w:val="bottom"/>
          </w:tcPr>
          <w:p w14:paraId="51328F0B" w14:textId="77777777" w:rsidR="00226BC6" w:rsidRPr="00103C39" w:rsidRDefault="00226BC6" w:rsidP="00226BC6">
            <w:pPr>
              <w:tabs>
                <w:tab w:val="decimal" w:pos="288"/>
              </w:tabs>
              <w:spacing w:after="0" w:line="240" w:lineRule="auto"/>
              <w:rPr>
                <w:rFonts w:ascii="Times New Roman" w:hAnsi="Times New Roman"/>
                <w:sz w:val="20"/>
                <w:szCs w:val="20"/>
              </w:rPr>
            </w:pPr>
            <w:r>
              <w:rPr>
                <w:rFonts w:ascii="Times New Roman" w:hAnsi="Times New Roman"/>
                <w:sz w:val="20"/>
                <w:szCs w:val="20"/>
              </w:rPr>
              <w:t>0.049</w:t>
            </w:r>
          </w:p>
        </w:tc>
        <w:tc>
          <w:tcPr>
            <w:tcW w:w="1160" w:type="dxa"/>
            <w:tcBorders>
              <w:top w:val="nil"/>
              <w:left w:val="nil"/>
              <w:bottom w:val="nil"/>
              <w:right w:val="nil"/>
            </w:tcBorders>
            <w:vAlign w:val="bottom"/>
          </w:tcPr>
          <w:p w14:paraId="1BA6838C" w14:textId="77777777" w:rsidR="00226BC6" w:rsidRPr="00103C39" w:rsidRDefault="00226BC6" w:rsidP="00226BC6">
            <w:pPr>
              <w:tabs>
                <w:tab w:val="decimal" w:pos="288"/>
              </w:tabs>
              <w:spacing w:after="0" w:line="240" w:lineRule="auto"/>
              <w:rPr>
                <w:rFonts w:ascii="Times New Roman" w:hAnsi="Times New Roman"/>
                <w:sz w:val="20"/>
                <w:szCs w:val="20"/>
              </w:rPr>
            </w:pPr>
            <w:r>
              <w:rPr>
                <w:rFonts w:ascii="Times New Roman" w:hAnsi="Times New Roman"/>
                <w:sz w:val="20"/>
                <w:szCs w:val="20"/>
              </w:rPr>
              <w:t>0.031</w:t>
            </w:r>
          </w:p>
        </w:tc>
      </w:tr>
      <w:tr w:rsidR="00226BC6" w:rsidRPr="00103C39" w14:paraId="01FE43ED" w14:textId="77777777" w:rsidTr="007D794A">
        <w:trPr>
          <w:trHeight w:val="264"/>
        </w:trPr>
        <w:tc>
          <w:tcPr>
            <w:tcW w:w="2303" w:type="dxa"/>
            <w:tcBorders>
              <w:top w:val="nil"/>
              <w:left w:val="nil"/>
              <w:bottom w:val="nil"/>
              <w:right w:val="nil"/>
            </w:tcBorders>
            <w:noWrap/>
            <w:vAlign w:val="bottom"/>
            <w:hideMark/>
          </w:tcPr>
          <w:p w14:paraId="594CF284" w14:textId="77777777" w:rsidR="00226BC6" w:rsidRPr="00103C39" w:rsidRDefault="00226BC6" w:rsidP="00226BC6">
            <w:pPr>
              <w:spacing w:after="0" w:line="240" w:lineRule="auto"/>
              <w:jc w:val="right"/>
              <w:rPr>
                <w:rFonts w:ascii="Times New Roman" w:hAnsi="Times New Roman"/>
                <w:sz w:val="20"/>
                <w:szCs w:val="20"/>
              </w:rPr>
            </w:pPr>
            <w:r w:rsidRPr="00103C39">
              <w:rPr>
                <w:rFonts w:ascii="Times New Roman" w:hAnsi="Times New Roman"/>
                <w:sz w:val="20"/>
                <w:szCs w:val="20"/>
              </w:rPr>
              <w:t>41-50</w:t>
            </w:r>
          </w:p>
        </w:tc>
        <w:tc>
          <w:tcPr>
            <w:tcW w:w="1208" w:type="dxa"/>
            <w:tcBorders>
              <w:top w:val="nil"/>
              <w:left w:val="nil"/>
              <w:bottom w:val="nil"/>
              <w:right w:val="nil"/>
            </w:tcBorders>
            <w:noWrap/>
            <w:vAlign w:val="bottom"/>
            <w:hideMark/>
          </w:tcPr>
          <w:p w14:paraId="780086FE" w14:textId="77777777" w:rsidR="00226BC6" w:rsidRPr="00103C39" w:rsidRDefault="00226BC6" w:rsidP="00226BC6">
            <w:pPr>
              <w:tabs>
                <w:tab w:val="decimal" w:pos="360"/>
              </w:tabs>
              <w:spacing w:after="0" w:line="240" w:lineRule="auto"/>
              <w:rPr>
                <w:rFonts w:ascii="Times New Roman" w:hAnsi="Times New Roman"/>
                <w:sz w:val="20"/>
                <w:szCs w:val="20"/>
              </w:rPr>
            </w:pPr>
            <w:r w:rsidRPr="00103C39">
              <w:rPr>
                <w:rFonts w:ascii="Times New Roman" w:hAnsi="Times New Roman"/>
                <w:sz w:val="20"/>
                <w:szCs w:val="20"/>
              </w:rPr>
              <w:t>0.093</w:t>
            </w:r>
          </w:p>
        </w:tc>
        <w:tc>
          <w:tcPr>
            <w:tcW w:w="1208" w:type="dxa"/>
            <w:tcBorders>
              <w:top w:val="nil"/>
              <w:left w:val="nil"/>
              <w:bottom w:val="nil"/>
              <w:right w:val="nil"/>
            </w:tcBorders>
            <w:noWrap/>
            <w:vAlign w:val="bottom"/>
            <w:hideMark/>
          </w:tcPr>
          <w:p w14:paraId="4747C4B2" w14:textId="77777777" w:rsidR="00226BC6" w:rsidRPr="00103C39" w:rsidRDefault="00226BC6" w:rsidP="00226BC6">
            <w:pPr>
              <w:tabs>
                <w:tab w:val="decimal" w:pos="360"/>
              </w:tabs>
              <w:spacing w:after="0" w:line="240" w:lineRule="auto"/>
              <w:rPr>
                <w:rFonts w:ascii="Times New Roman" w:hAnsi="Times New Roman"/>
                <w:sz w:val="20"/>
                <w:szCs w:val="20"/>
              </w:rPr>
            </w:pPr>
            <w:r w:rsidRPr="00103C39">
              <w:rPr>
                <w:rFonts w:ascii="Times New Roman" w:hAnsi="Times New Roman"/>
                <w:sz w:val="20"/>
                <w:szCs w:val="20"/>
              </w:rPr>
              <w:t>0.029</w:t>
            </w:r>
          </w:p>
        </w:tc>
        <w:tc>
          <w:tcPr>
            <w:tcW w:w="1208" w:type="dxa"/>
            <w:tcBorders>
              <w:top w:val="nil"/>
              <w:left w:val="nil"/>
              <w:bottom w:val="nil"/>
              <w:right w:val="nil"/>
            </w:tcBorders>
            <w:noWrap/>
            <w:vAlign w:val="bottom"/>
            <w:hideMark/>
          </w:tcPr>
          <w:p w14:paraId="2751B569" w14:textId="77777777" w:rsidR="00226BC6" w:rsidRPr="00103C39" w:rsidRDefault="00226BC6" w:rsidP="00226BC6">
            <w:pPr>
              <w:tabs>
                <w:tab w:val="decimal" w:pos="288"/>
              </w:tabs>
              <w:spacing w:after="0" w:line="240" w:lineRule="auto"/>
              <w:rPr>
                <w:rFonts w:ascii="Times New Roman" w:hAnsi="Times New Roman"/>
                <w:sz w:val="20"/>
                <w:szCs w:val="20"/>
              </w:rPr>
            </w:pPr>
            <w:r>
              <w:rPr>
                <w:rFonts w:ascii="Times New Roman" w:hAnsi="Times New Roman"/>
                <w:sz w:val="20"/>
                <w:szCs w:val="20"/>
              </w:rPr>
              <w:t>0.042</w:t>
            </w:r>
          </w:p>
        </w:tc>
        <w:tc>
          <w:tcPr>
            <w:tcW w:w="1113" w:type="dxa"/>
            <w:tcBorders>
              <w:top w:val="nil"/>
              <w:left w:val="nil"/>
              <w:bottom w:val="nil"/>
              <w:right w:val="nil"/>
            </w:tcBorders>
            <w:vAlign w:val="bottom"/>
          </w:tcPr>
          <w:p w14:paraId="04A94155" w14:textId="77777777" w:rsidR="00226BC6" w:rsidRPr="00103C39" w:rsidRDefault="00226BC6" w:rsidP="00226BC6">
            <w:pPr>
              <w:tabs>
                <w:tab w:val="decimal" w:pos="288"/>
              </w:tabs>
              <w:spacing w:after="0" w:line="240" w:lineRule="auto"/>
              <w:rPr>
                <w:rFonts w:ascii="Times New Roman" w:hAnsi="Times New Roman"/>
                <w:sz w:val="20"/>
                <w:szCs w:val="20"/>
              </w:rPr>
            </w:pPr>
            <w:r>
              <w:rPr>
                <w:rFonts w:ascii="Times New Roman" w:hAnsi="Times New Roman"/>
                <w:sz w:val="20"/>
                <w:szCs w:val="20"/>
              </w:rPr>
              <w:t>0.008</w:t>
            </w:r>
          </w:p>
        </w:tc>
        <w:tc>
          <w:tcPr>
            <w:tcW w:w="1160" w:type="dxa"/>
            <w:tcBorders>
              <w:top w:val="nil"/>
              <w:left w:val="nil"/>
              <w:bottom w:val="nil"/>
              <w:right w:val="nil"/>
            </w:tcBorders>
            <w:vAlign w:val="bottom"/>
          </w:tcPr>
          <w:p w14:paraId="6C3C1897" w14:textId="77777777" w:rsidR="00226BC6" w:rsidRPr="00103C39" w:rsidRDefault="00226BC6" w:rsidP="00226BC6">
            <w:pPr>
              <w:tabs>
                <w:tab w:val="decimal" w:pos="288"/>
              </w:tabs>
              <w:spacing w:after="0" w:line="240" w:lineRule="auto"/>
              <w:rPr>
                <w:rFonts w:ascii="Times New Roman" w:hAnsi="Times New Roman"/>
                <w:sz w:val="20"/>
                <w:szCs w:val="20"/>
              </w:rPr>
            </w:pPr>
            <w:r>
              <w:rPr>
                <w:rFonts w:ascii="Times New Roman" w:hAnsi="Times New Roman"/>
                <w:sz w:val="20"/>
                <w:szCs w:val="20"/>
              </w:rPr>
              <w:t>0.019</w:t>
            </w:r>
          </w:p>
        </w:tc>
        <w:tc>
          <w:tcPr>
            <w:tcW w:w="1160" w:type="dxa"/>
            <w:tcBorders>
              <w:top w:val="nil"/>
              <w:left w:val="nil"/>
              <w:bottom w:val="nil"/>
              <w:right w:val="nil"/>
            </w:tcBorders>
            <w:vAlign w:val="bottom"/>
          </w:tcPr>
          <w:p w14:paraId="58885A55" w14:textId="77777777" w:rsidR="00226BC6" w:rsidRPr="00103C39" w:rsidRDefault="00226BC6" w:rsidP="00226BC6">
            <w:pPr>
              <w:tabs>
                <w:tab w:val="decimal" w:pos="288"/>
              </w:tabs>
              <w:spacing w:after="0" w:line="240" w:lineRule="auto"/>
              <w:rPr>
                <w:rFonts w:ascii="Times New Roman" w:hAnsi="Times New Roman"/>
                <w:sz w:val="20"/>
                <w:szCs w:val="20"/>
              </w:rPr>
            </w:pPr>
            <w:r>
              <w:rPr>
                <w:rFonts w:ascii="Times New Roman" w:hAnsi="Times New Roman"/>
                <w:sz w:val="20"/>
                <w:szCs w:val="20"/>
              </w:rPr>
              <w:t>0.014</w:t>
            </w:r>
          </w:p>
        </w:tc>
      </w:tr>
      <w:tr w:rsidR="00226BC6" w:rsidRPr="00103C39" w14:paraId="07B2895D" w14:textId="77777777" w:rsidTr="007D794A">
        <w:trPr>
          <w:trHeight w:val="264"/>
        </w:trPr>
        <w:tc>
          <w:tcPr>
            <w:tcW w:w="2303" w:type="dxa"/>
            <w:tcBorders>
              <w:top w:val="nil"/>
              <w:left w:val="nil"/>
              <w:bottom w:val="nil"/>
              <w:right w:val="nil"/>
            </w:tcBorders>
            <w:noWrap/>
            <w:vAlign w:val="bottom"/>
            <w:hideMark/>
          </w:tcPr>
          <w:p w14:paraId="128094CC" w14:textId="77777777" w:rsidR="00226BC6" w:rsidRPr="00103C39" w:rsidRDefault="00226BC6" w:rsidP="00226BC6">
            <w:pPr>
              <w:spacing w:after="0" w:line="240" w:lineRule="auto"/>
              <w:jc w:val="right"/>
              <w:rPr>
                <w:rFonts w:ascii="Times New Roman" w:hAnsi="Times New Roman"/>
                <w:sz w:val="20"/>
                <w:szCs w:val="20"/>
              </w:rPr>
            </w:pPr>
            <w:r w:rsidRPr="00103C39">
              <w:rPr>
                <w:rFonts w:ascii="Times New Roman" w:hAnsi="Times New Roman"/>
                <w:sz w:val="20"/>
                <w:szCs w:val="20"/>
              </w:rPr>
              <w:t>&gt;50</w:t>
            </w:r>
          </w:p>
        </w:tc>
        <w:tc>
          <w:tcPr>
            <w:tcW w:w="1208" w:type="dxa"/>
            <w:tcBorders>
              <w:top w:val="nil"/>
              <w:left w:val="nil"/>
              <w:bottom w:val="nil"/>
              <w:right w:val="nil"/>
            </w:tcBorders>
            <w:noWrap/>
            <w:vAlign w:val="bottom"/>
            <w:hideMark/>
          </w:tcPr>
          <w:p w14:paraId="69D90457" w14:textId="77777777" w:rsidR="00226BC6" w:rsidRPr="00103C39" w:rsidRDefault="00226BC6" w:rsidP="00226BC6">
            <w:pPr>
              <w:tabs>
                <w:tab w:val="decimal" w:pos="360"/>
              </w:tabs>
              <w:spacing w:after="0" w:line="240" w:lineRule="auto"/>
              <w:rPr>
                <w:rFonts w:ascii="Times New Roman" w:hAnsi="Times New Roman"/>
                <w:sz w:val="20"/>
                <w:szCs w:val="20"/>
              </w:rPr>
            </w:pPr>
            <w:r w:rsidRPr="00103C39">
              <w:rPr>
                <w:rFonts w:ascii="Times New Roman" w:hAnsi="Times New Roman"/>
                <w:sz w:val="20"/>
                <w:szCs w:val="20"/>
              </w:rPr>
              <w:t>0.059</w:t>
            </w:r>
          </w:p>
        </w:tc>
        <w:tc>
          <w:tcPr>
            <w:tcW w:w="1208" w:type="dxa"/>
            <w:tcBorders>
              <w:top w:val="nil"/>
              <w:left w:val="nil"/>
              <w:bottom w:val="nil"/>
              <w:right w:val="nil"/>
            </w:tcBorders>
            <w:noWrap/>
            <w:vAlign w:val="bottom"/>
            <w:hideMark/>
          </w:tcPr>
          <w:p w14:paraId="45887138" w14:textId="77777777" w:rsidR="00226BC6" w:rsidRPr="00103C39" w:rsidRDefault="00226BC6" w:rsidP="00226BC6">
            <w:pPr>
              <w:tabs>
                <w:tab w:val="decimal" w:pos="360"/>
              </w:tabs>
              <w:spacing w:after="0" w:line="240" w:lineRule="auto"/>
              <w:rPr>
                <w:rFonts w:ascii="Times New Roman" w:hAnsi="Times New Roman"/>
                <w:sz w:val="20"/>
                <w:szCs w:val="20"/>
              </w:rPr>
            </w:pPr>
            <w:r w:rsidRPr="00103C39">
              <w:rPr>
                <w:rFonts w:ascii="Times New Roman" w:hAnsi="Times New Roman"/>
                <w:sz w:val="20"/>
                <w:szCs w:val="20"/>
              </w:rPr>
              <w:t>0.008</w:t>
            </w:r>
          </w:p>
        </w:tc>
        <w:tc>
          <w:tcPr>
            <w:tcW w:w="1208" w:type="dxa"/>
            <w:tcBorders>
              <w:top w:val="nil"/>
              <w:left w:val="nil"/>
              <w:bottom w:val="nil"/>
              <w:right w:val="nil"/>
            </w:tcBorders>
            <w:noWrap/>
            <w:vAlign w:val="bottom"/>
            <w:hideMark/>
          </w:tcPr>
          <w:p w14:paraId="1E6C559A" w14:textId="77777777" w:rsidR="00226BC6" w:rsidRPr="00103C39" w:rsidRDefault="00226BC6" w:rsidP="00226BC6">
            <w:pPr>
              <w:tabs>
                <w:tab w:val="decimal" w:pos="288"/>
              </w:tabs>
              <w:spacing w:after="0" w:line="240" w:lineRule="auto"/>
              <w:rPr>
                <w:rFonts w:ascii="Times New Roman" w:hAnsi="Times New Roman"/>
                <w:sz w:val="20"/>
                <w:szCs w:val="20"/>
              </w:rPr>
            </w:pPr>
            <w:r>
              <w:rPr>
                <w:rFonts w:ascii="Times New Roman" w:hAnsi="Times New Roman"/>
                <w:sz w:val="20"/>
                <w:szCs w:val="20"/>
              </w:rPr>
              <w:t>0.014</w:t>
            </w:r>
          </w:p>
        </w:tc>
        <w:tc>
          <w:tcPr>
            <w:tcW w:w="1113" w:type="dxa"/>
            <w:tcBorders>
              <w:top w:val="nil"/>
              <w:left w:val="nil"/>
              <w:bottom w:val="nil"/>
              <w:right w:val="nil"/>
            </w:tcBorders>
            <w:vAlign w:val="bottom"/>
          </w:tcPr>
          <w:p w14:paraId="3D1CA9C5" w14:textId="77777777" w:rsidR="00226BC6" w:rsidRPr="00103C39" w:rsidRDefault="00226BC6" w:rsidP="00226BC6">
            <w:pPr>
              <w:tabs>
                <w:tab w:val="decimal" w:pos="288"/>
              </w:tabs>
              <w:spacing w:after="0" w:line="240" w:lineRule="auto"/>
              <w:rPr>
                <w:rFonts w:ascii="Times New Roman" w:hAnsi="Times New Roman"/>
                <w:sz w:val="20"/>
                <w:szCs w:val="20"/>
              </w:rPr>
            </w:pPr>
            <w:r>
              <w:rPr>
                <w:rFonts w:ascii="Times New Roman" w:hAnsi="Times New Roman"/>
                <w:sz w:val="20"/>
                <w:szCs w:val="20"/>
              </w:rPr>
              <w:t>0.002</w:t>
            </w:r>
          </w:p>
        </w:tc>
        <w:tc>
          <w:tcPr>
            <w:tcW w:w="1160" w:type="dxa"/>
            <w:tcBorders>
              <w:top w:val="nil"/>
              <w:left w:val="nil"/>
              <w:bottom w:val="nil"/>
              <w:right w:val="nil"/>
            </w:tcBorders>
            <w:vAlign w:val="bottom"/>
          </w:tcPr>
          <w:p w14:paraId="0FA9C695" w14:textId="77777777" w:rsidR="00226BC6" w:rsidRPr="00103C39" w:rsidRDefault="00226BC6" w:rsidP="00226BC6">
            <w:pPr>
              <w:tabs>
                <w:tab w:val="decimal" w:pos="288"/>
              </w:tabs>
              <w:spacing w:after="0" w:line="240" w:lineRule="auto"/>
              <w:rPr>
                <w:rFonts w:ascii="Times New Roman" w:hAnsi="Times New Roman"/>
                <w:sz w:val="20"/>
                <w:szCs w:val="20"/>
              </w:rPr>
            </w:pPr>
            <w:r>
              <w:rPr>
                <w:rFonts w:ascii="Times New Roman" w:hAnsi="Times New Roman"/>
                <w:sz w:val="20"/>
                <w:szCs w:val="20"/>
              </w:rPr>
              <w:t>0.003</w:t>
            </w:r>
          </w:p>
        </w:tc>
        <w:tc>
          <w:tcPr>
            <w:tcW w:w="1160" w:type="dxa"/>
            <w:tcBorders>
              <w:top w:val="nil"/>
              <w:left w:val="nil"/>
              <w:bottom w:val="nil"/>
              <w:right w:val="nil"/>
            </w:tcBorders>
            <w:vAlign w:val="bottom"/>
          </w:tcPr>
          <w:p w14:paraId="7F33F7B3" w14:textId="77777777" w:rsidR="00226BC6" w:rsidRPr="00103C39" w:rsidRDefault="00226BC6" w:rsidP="00226BC6">
            <w:pPr>
              <w:tabs>
                <w:tab w:val="decimal" w:pos="288"/>
              </w:tabs>
              <w:spacing w:after="0" w:line="240" w:lineRule="auto"/>
              <w:rPr>
                <w:rFonts w:ascii="Times New Roman" w:hAnsi="Times New Roman"/>
                <w:sz w:val="20"/>
                <w:szCs w:val="20"/>
              </w:rPr>
            </w:pPr>
            <w:r>
              <w:rPr>
                <w:rFonts w:ascii="Times New Roman" w:hAnsi="Times New Roman"/>
                <w:sz w:val="20"/>
                <w:szCs w:val="20"/>
              </w:rPr>
              <w:t>0.003</w:t>
            </w:r>
          </w:p>
        </w:tc>
      </w:tr>
      <w:tr w:rsidR="00226BC6" w:rsidRPr="00103C39" w14:paraId="0A5CB552" w14:textId="77777777" w:rsidTr="007D794A">
        <w:trPr>
          <w:trHeight w:val="264"/>
        </w:trPr>
        <w:tc>
          <w:tcPr>
            <w:tcW w:w="2303" w:type="dxa"/>
            <w:tcBorders>
              <w:top w:val="nil"/>
              <w:left w:val="nil"/>
              <w:bottom w:val="single" w:sz="4" w:space="0" w:color="auto"/>
              <w:right w:val="nil"/>
            </w:tcBorders>
            <w:noWrap/>
            <w:vAlign w:val="bottom"/>
            <w:hideMark/>
          </w:tcPr>
          <w:p w14:paraId="674C67A9" w14:textId="77777777" w:rsidR="00226BC6" w:rsidRPr="00103C39" w:rsidRDefault="00226BC6" w:rsidP="00226BC6">
            <w:pPr>
              <w:spacing w:after="0" w:line="240" w:lineRule="auto"/>
              <w:jc w:val="right"/>
              <w:rPr>
                <w:rFonts w:ascii="Times New Roman" w:hAnsi="Times New Roman"/>
                <w:sz w:val="20"/>
                <w:szCs w:val="20"/>
              </w:rPr>
            </w:pPr>
            <w:r w:rsidRPr="00103C39">
              <w:rPr>
                <w:rFonts w:ascii="Times New Roman" w:hAnsi="Times New Roman"/>
                <w:sz w:val="20"/>
                <w:szCs w:val="20"/>
              </w:rPr>
              <w:t>missing</w:t>
            </w:r>
          </w:p>
        </w:tc>
        <w:tc>
          <w:tcPr>
            <w:tcW w:w="1208" w:type="dxa"/>
            <w:tcBorders>
              <w:top w:val="nil"/>
              <w:left w:val="nil"/>
              <w:bottom w:val="single" w:sz="4" w:space="0" w:color="auto"/>
              <w:right w:val="nil"/>
            </w:tcBorders>
            <w:noWrap/>
            <w:vAlign w:val="bottom"/>
            <w:hideMark/>
          </w:tcPr>
          <w:p w14:paraId="7931A50B" w14:textId="77777777" w:rsidR="00226BC6" w:rsidRPr="00103C39" w:rsidRDefault="00226BC6" w:rsidP="00226BC6">
            <w:pPr>
              <w:tabs>
                <w:tab w:val="decimal" w:pos="360"/>
              </w:tabs>
              <w:spacing w:after="0" w:line="240" w:lineRule="auto"/>
              <w:rPr>
                <w:rFonts w:ascii="Times New Roman" w:hAnsi="Times New Roman"/>
                <w:sz w:val="20"/>
                <w:szCs w:val="20"/>
              </w:rPr>
            </w:pPr>
            <w:r w:rsidRPr="00103C39">
              <w:rPr>
                <w:rFonts w:ascii="Times New Roman" w:hAnsi="Times New Roman"/>
                <w:sz w:val="20"/>
                <w:szCs w:val="20"/>
              </w:rPr>
              <w:t>0.002</w:t>
            </w:r>
          </w:p>
        </w:tc>
        <w:tc>
          <w:tcPr>
            <w:tcW w:w="1208" w:type="dxa"/>
            <w:tcBorders>
              <w:top w:val="nil"/>
              <w:left w:val="nil"/>
              <w:bottom w:val="single" w:sz="4" w:space="0" w:color="auto"/>
              <w:right w:val="nil"/>
            </w:tcBorders>
            <w:noWrap/>
            <w:vAlign w:val="bottom"/>
            <w:hideMark/>
          </w:tcPr>
          <w:p w14:paraId="0095915C" w14:textId="77777777" w:rsidR="00226BC6" w:rsidRPr="00103C39" w:rsidRDefault="00226BC6" w:rsidP="00226BC6">
            <w:pPr>
              <w:tabs>
                <w:tab w:val="decimal" w:pos="360"/>
              </w:tabs>
              <w:spacing w:after="0" w:line="240" w:lineRule="auto"/>
              <w:rPr>
                <w:rFonts w:ascii="Times New Roman" w:hAnsi="Times New Roman"/>
                <w:sz w:val="20"/>
                <w:szCs w:val="20"/>
              </w:rPr>
            </w:pPr>
            <w:r w:rsidRPr="00103C39">
              <w:rPr>
                <w:rFonts w:ascii="Times New Roman" w:hAnsi="Times New Roman"/>
                <w:sz w:val="20"/>
                <w:szCs w:val="20"/>
              </w:rPr>
              <w:t>0.001</w:t>
            </w:r>
          </w:p>
        </w:tc>
        <w:tc>
          <w:tcPr>
            <w:tcW w:w="1208" w:type="dxa"/>
            <w:tcBorders>
              <w:top w:val="nil"/>
              <w:left w:val="nil"/>
              <w:bottom w:val="single" w:sz="4" w:space="0" w:color="auto"/>
              <w:right w:val="nil"/>
            </w:tcBorders>
            <w:noWrap/>
            <w:vAlign w:val="bottom"/>
            <w:hideMark/>
          </w:tcPr>
          <w:p w14:paraId="04F61B5E" w14:textId="77777777" w:rsidR="00226BC6" w:rsidRPr="00103C39" w:rsidRDefault="00226BC6" w:rsidP="00226BC6">
            <w:pPr>
              <w:tabs>
                <w:tab w:val="decimal" w:pos="288"/>
              </w:tabs>
              <w:spacing w:after="0" w:line="240" w:lineRule="auto"/>
              <w:rPr>
                <w:rFonts w:ascii="Times New Roman" w:hAnsi="Times New Roman"/>
                <w:sz w:val="20"/>
                <w:szCs w:val="20"/>
              </w:rPr>
            </w:pPr>
            <w:r>
              <w:rPr>
                <w:rFonts w:ascii="Times New Roman" w:hAnsi="Times New Roman"/>
                <w:sz w:val="20"/>
                <w:szCs w:val="20"/>
              </w:rPr>
              <w:t>0.002</w:t>
            </w:r>
          </w:p>
        </w:tc>
        <w:tc>
          <w:tcPr>
            <w:tcW w:w="1113" w:type="dxa"/>
            <w:tcBorders>
              <w:top w:val="nil"/>
              <w:left w:val="nil"/>
              <w:bottom w:val="single" w:sz="4" w:space="0" w:color="auto"/>
              <w:right w:val="nil"/>
            </w:tcBorders>
            <w:vAlign w:val="bottom"/>
          </w:tcPr>
          <w:p w14:paraId="70848750" w14:textId="77777777" w:rsidR="00226BC6" w:rsidRPr="00103C39" w:rsidRDefault="00226BC6" w:rsidP="00226BC6">
            <w:pPr>
              <w:tabs>
                <w:tab w:val="decimal" w:pos="288"/>
              </w:tabs>
              <w:spacing w:after="0" w:line="240" w:lineRule="auto"/>
              <w:rPr>
                <w:rFonts w:ascii="Times New Roman" w:hAnsi="Times New Roman"/>
                <w:sz w:val="20"/>
                <w:szCs w:val="20"/>
              </w:rPr>
            </w:pPr>
            <w:r>
              <w:rPr>
                <w:rFonts w:ascii="Times New Roman" w:hAnsi="Times New Roman"/>
                <w:sz w:val="20"/>
                <w:szCs w:val="20"/>
              </w:rPr>
              <w:t>0.001</w:t>
            </w:r>
          </w:p>
        </w:tc>
        <w:tc>
          <w:tcPr>
            <w:tcW w:w="1160" w:type="dxa"/>
            <w:tcBorders>
              <w:top w:val="nil"/>
              <w:left w:val="nil"/>
              <w:bottom w:val="single" w:sz="4" w:space="0" w:color="auto"/>
              <w:right w:val="nil"/>
            </w:tcBorders>
            <w:vAlign w:val="bottom"/>
          </w:tcPr>
          <w:p w14:paraId="27480D2B" w14:textId="77777777" w:rsidR="00226BC6" w:rsidRPr="00103C39" w:rsidRDefault="00226BC6" w:rsidP="00226BC6">
            <w:pPr>
              <w:tabs>
                <w:tab w:val="decimal" w:pos="288"/>
              </w:tabs>
              <w:spacing w:after="0" w:line="240" w:lineRule="auto"/>
              <w:rPr>
                <w:rFonts w:ascii="Times New Roman" w:hAnsi="Times New Roman"/>
                <w:sz w:val="20"/>
                <w:szCs w:val="20"/>
              </w:rPr>
            </w:pPr>
            <w:r>
              <w:rPr>
                <w:rFonts w:ascii="Times New Roman" w:hAnsi="Times New Roman"/>
                <w:sz w:val="20"/>
                <w:szCs w:val="20"/>
              </w:rPr>
              <w:t>0.001</w:t>
            </w:r>
          </w:p>
        </w:tc>
        <w:tc>
          <w:tcPr>
            <w:tcW w:w="1160" w:type="dxa"/>
            <w:tcBorders>
              <w:top w:val="nil"/>
              <w:left w:val="nil"/>
              <w:bottom w:val="single" w:sz="4" w:space="0" w:color="auto"/>
              <w:right w:val="nil"/>
            </w:tcBorders>
            <w:vAlign w:val="bottom"/>
          </w:tcPr>
          <w:p w14:paraId="122E0403" w14:textId="77777777" w:rsidR="00226BC6" w:rsidRPr="00103C39" w:rsidRDefault="00226BC6" w:rsidP="00226BC6">
            <w:pPr>
              <w:tabs>
                <w:tab w:val="decimal" w:pos="288"/>
              </w:tabs>
              <w:spacing w:after="0" w:line="240" w:lineRule="auto"/>
              <w:rPr>
                <w:rFonts w:ascii="Times New Roman" w:hAnsi="Times New Roman"/>
                <w:sz w:val="20"/>
                <w:szCs w:val="20"/>
              </w:rPr>
            </w:pPr>
            <w:r>
              <w:rPr>
                <w:rFonts w:ascii="Times New Roman" w:hAnsi="Times New Roman"/>
                <w:sz w:val="20"/>
                <w:szCs w:val="20"/>
              </w:rPr>
              <w:t>0.001</w:t>
            </w:r>
          </w:p>
        </w:tc>
      </w:tr>
      <w:tr w:rsidR="00226BC6" w:rsidRPr="00103C39" w14:paraId="59A7C770" w14:textId="77777777" w:rsidTr="007D794A">
        <w:trPr>
          <w:trHeight w:val="264"/>
        </w:trPr>
        <w:tc>
          <w:tcPr>
            <w:tcW w:w="2303" w:type="dxa"/>
            <w:tcBorders>
              <w:top w:val="single" w:sz="4" w:space="0" w:color="auto"/>
              <w:left w:val="nil"/>
              <w:bottom w:val="single" w:sz="4" w:space="0" w:color="auto"/>
              <w:right w:val="nil"/>
            </w:tcBorders>
            <w:noWrap/>
            <w:vAlign w:val="bottom"/>
            <w:hideMark/>
          </w:tcPr>
          <w:p w14:paraId="21A4B02E" w14:textId="77777777" w:rsidR="00226BC6" w:rsidRPr="007D794A" w:rsidRDefault="007D794A" w:rsidP="007D794A">
            <w:pPr>
              <w:spacing w:after="0" w:line="240" w:lineRule="auto"/>
              <w:jc w:val="right"/>
              <w:rPr>
                <w:rFonts w:ascii="Times New Roman" w:hAnsi="Times New Roman"/>
                <w:i/>
                <w:sz w:val="20"/>
                <w:szCs w:val="20"/>
              </w:rPr>
            </w:pPr>
            <w:r>
              <w:rPr>
                <w:rFonts w:ascii="Times New Roman" w:hAnsi="Times New Roman"/>
                <w:i/>
                <w:sz w:val="20"/>
                <w:szCs w:val="20"/>
              </w:rPr>
              <w:t>N</w:t>
            </w:r>
          </w:p>
        </w:tc>
        <w:tc>
          <w:tcPr>
            <w:tcW w:w="1208" w:type="dxa"/>
            <w:tcBorders>
              <w:top w:val="single" w:sz="4" w:space="0" w:color="auto"/>
              <w:left w:val="nil"/>
              <w:bottom w:val="single" w:sz="4" w:space="0" w:color="auto"/>
              <w:right w:val="nil"/>
            </w:tcBorders>
            <w:noWrap/>
            <w:vAlign w:val="bottom"/>
            <w:hideMark/>
          </w:tcPr>
          <w:p w14:paraId="4607A0B0" w14:textId="77777777" w:rsidR="00226BC6" w:rsidRPr="00103C39" w:rsidRDefault="007D794A" w:rsidP="007D794A">
            <w:pPr>
              <w:tabs>
                <w:tab w:val="decimal" w:pos="216"/>
                <w:tab w:val="decimal" w:pos="242"/>
              </w:tabs>
              <w:spacing w:after="0" w:line="240" w:lineRule="auto"/>
              <w:jc w:val="center"/>
              <w:rPr>
                <w:rFonts w:ascii="Times New Roman" w:hAnsi="Times New Roman"/>
                <w:sz w:val="20"/>
                <w:szCs w:val="20"/>
              </w:rPr>
            </w:pPr>
            <w:r>
              <w:rPr>
                <w:rFonts w:ascii="Times New Roman" w:hAnsi="Times New Roman"/>
                <w:sz w:val="20"/>
                <w:szCs w:val="20"/>
              </w:rPr>
              <w:t>2,982,166</w:t>
            </w:r>
          </w:p>
        </w:tc>
        <w:tc>
          <w:tcPr>
            <w:tcW w:w="1208" w:type="dxa"/>
            <w:tcBorders>
              <w:top w:val="single" w:sz="4" w:space="0" w:color="auto"/>
              <w:left w:val="nil"/>
              <w:bottom w:val="single" w:sz="4" w:space="0" w:color="auto"/>
              <w:right w:val="nil"/>
            </w:tcBorders>
            <w:noWrap/>
            <w:vAlign w:val="bottom"/>
            <w:hideMark/>
          </w:tcPr>
          <w:p w14:paraId="2DAC60D2" w14:textId="77777777" w:rsidR="00226BC6" w:rsidRPr="00103C39" w:rsidRDefault="007D794A" w:rsidP="007D794A">
            <w:pPr>
              <w:tabs>
                <w:tab w:val="decimal" w:pos="216"/>
                <w:tab w:val="decimal" w:pos="242"/>
              </w:tabs>
              <w:spacing w:after="0" w:line="240" w:lineRule="auto"/>
              <w:jc w:val="center"/>
              <w:rPr>
                <w:rFonts w:ascii="Times New Roman" w:hAnsi="Times New Roman"/>
                <w:sz w:val="20"/>
                <w:szCs w:val="20"/>
              </w:rPr>
            </w:pPr>
            <w:r>
              <w:rPr>
                <w:rFonts w:ascii="Times New Roman" w:hAnsi="Times New Roman"/>
                <w:sz w:val="20"/>
                <w:szCs w:val="20"/>
              </w:rPr>
              <w:t>1,003,987</w:t>
            </w:r>
          </w:p>
        </w:tc>
        <w:tc>
          <w:tcPr>
            <w:tcW w:w="1208" w:type="dxa"/>
            <w:tcBorders>
              <w:top w:val="single" w:sz="4" w:space="0" w:color="auto"/>
              <w:left w:val="nil"/>
              <w:bottom w:val="single" w:sz="4" w:space="0" w:color="auto"/>
              <w:right w:val="nil"/>
            </w:tcBorders>
            <w:noWrap/>
            <w:vAlign w:val="bottom"/>
            <w:hideMark/>
          </w:tcPr>
          <w:p w14:paraId="490B2CCF" w14:textId="14EE1B89" w:rsidR="00226BC6" w:rsidRPr="00103C39" w:rsidRDefault="00656CC0" w:rsidP="007D794A">
            <w:pPr>
              <w:tabs>
                <w:tab w:val="decimal" w:pos="216"/>
                <w:tab w:val="decimal" w:pos="242"/>
              </w:tabs>
              <w:spacing w:after="0" w:line="240" w:lineRule="auto"/>
              <w:jc w:val="center"/>
              <w:rPr>
                <w:rFonts w:ascii="Times New Roman" w:hAnsi="Times New Roman"/>
                <w:sz w:val="20"/>
                <w:szCs w:val="20"/>
              </w:rPr>
            </w:pPr>
            <w:r>
              <w:rPr>
                <w:rFonts w:ascii="Times New Roman" w:hAnsi="Times New Roman"/>
                <w:sz w:val="20"/>
                <w:szCs w:val="20"/>
              </w:rPr>
              <w:t>469,080</w:t>
            </w:r>
          </w:p>
        </w:tc>
        <w:tc>
          <w:tcPr>
            <w:tcW w:w="1113" w:type="dxa"/>
            <w:tcBorders>
              <w:top w:val="single" w:sz="4" w:space="0" w:color="auto"/>
              <w:left w:val="nil"/>
              <w:bottom w:val="single" w:sz="4" w:space="0" w:color="auto"/>
              <w:right w:val="nil"/>
            </w:tcBorders>
          </w:tcPr>
          <w:p w14:paraId="4CC2D6D8" w14:textId="77777777" w:rsidR="00226BC6" w:rsidRPr="00103C39" w:rsidRDefault="007D794A" w:rsidP="007D794A">
            <w:pPr>
              <w:tabs>
                <w:tab w:val="decimal" w:pos="216"/>
                <w:tab w:val="decimal" w:pos="242"/>
              </w:tabs>
              <w:spacing w:after="0" w:line="240" w:lineRule="auto"/>
              <w:jc w:val="center"/>
              <w:rPr>
                <w:rFonts w:ascii="Times New Roman" w:hAnsi="Times New Roman"/>
                <w:sz w:val="20"/>
                <w:szCs w:val="20"/>
              </w:rPr>
            </w:pPr>
            <w:r>
              <w:rPr>
                <w:rFonts w:ascii="Times New Roman" w:hAnsi="Times New Roman"/>
                <w:sz w:val="20"/>
                <w:szCs w:val="20"/>
              </w:rPr>
              <w:t>92,433</w:t>
            </w:r>
          </w:p>
        </w:tc>
        <w:tc>
          <w:tcPr>
            <w:tcW w:w="1160" w:type="dxa"/>
            <w:tcBorders>
              <w:top w:val="single" w:sz="4" w:space="0" w:color="auto"/>
              <w:left w:val="nil"/>
              <w:bottom w:val="single" w:sz="4" w:space="0" w:color="auto"/>
              <w:right w:val="nil"/>
            </w:tcBorders>
          </w:tcPr>
          <w:p w14:paraId="69B8E78B" w14:textId="77777777" w:rsidR="00226BC6" w:rsidRPr="00103C39" w:rsidRDefault="007D794A" w:rsidP="007D794A">
            <w:pPr>
              <w:tabs>
                <w:tab w:val="decimal" w:pos="216"/>
                <w:tab w:val="decimal" w:pos="242"/>
              </w:tabs>
              <w:spacing w:after="0" w:line="240" w:lineRule="auto"/>
              <w:jc w:val="center"/>
              <w:rPr>
                <w:rFonts w:ascii="Times New Roman" w:hAnsi="Times New Roman"/>
                <w:sz w:val="20"/>
                <w:szCs w:val="20"/>
              </w:rPr>
            </w:pPr>
            <w:r>
              <w:rPr>
                <w:rFonts w:ascii="Times New Roman" w:hAnsi="Times New Roman"/>
                <w:sz w:val="20"/>
                <w:szCs w:val="20"/>
              </w:rPr>
              <w:t>204,582</w:t>
            </w:r>
          </w:p>
        </w:tc>
        <w:tc>
          <w:tcPr>
            <w:tcW w:w="1160" w:type="dxa"/>
            <w:tcBorders>
              <w:top w:val="single" w:sz="4" w:space="0" w:color="auto"/>
              <w:left w:val="nil"/>
              <w:bottom w:val="single" w:sz="4" w:space="0" w:color="auto"/>
              <w:right w:val="nil"/>
            </w:tcBorders>
          </w:tcPr>
          <w:p w14:paraId="7597BFD8" w14:textId="77777777" w:rsidR="00226BC6" w:rsidRPr="00103C39" w:rsidRDefault="007D794A" w:rsidP="007D794A">
            <w:pPr>
              <w:tabs>
                <w:tab w:val="decimal" w:pos="216"/>
                <w:tab w:val="decimal" w:pos="242"/>
              </w:tabs>
              <w:spacing w:after="0" w:line="240" w:lineRule="auto"/>
              <w:jc w:val="center"/>
              <w:rPr>
                <w:rFonts w:ascii="Times New Roman" w:hAnsi="Times New Roman"/>
                <w:sz w:val="20"/>
                <w:szCs w:val="20"/>
              </w:rPr>
            </w:pPr>
            <w:r>
              <w:rPr>
                <w:rFonts w:ascii="Times New Roman" w:hAnsi="Times New Roman"/>
                <w:sz w:val="20"/>
                <w:szCs w:val="20"/>
              </w:rPr>
              <w:t>71,300</w:t>
            </w:r>
          </w:p>
        </w:tc>
      </w:tr>
    </w:tbl>
    <w:p w14:paraId="149B0B33" w14:textId="77777777" w:rsidR="001332D4" w:rsidRDefault="001332D4" w:rsidP="00226BC6">
      <w:pPr>
        <w:rPr>
          <w:rFonts w:ascii="Times New Roman" w:hAnsi="Times New Roman" w:cs="Times New Roman"/>
          <w:sz w:val="24"/>
        </w:rPr>
      </w:pPr>
    </w:p>
    <w:p w14:paraId="1B097281" w14:textId="77777777" w:rsidR="001332D4" w:rsidRDefault="001332D4">
      <w:pPr>
        <w:rPr>
          <w:rFonts w:ascii="Times New Roman" w:hAnsi="Times New Roman" w:cs="Times New Roman"/>
          <w:sz w:val="24"/>
        </w:rPr>
      </w:pPr>
      <w:r>
        <w:rPr>
          <w:rFonts w:ascii="Times New Roman" w:hAnsi="Times New Roman" w:cs="Times New Roman"/>
          <w:sz w:val="24"/>
        </w:rPr>
        <w:br w:type="page"/>
      </w:r>
    </w:p>
    <w:p w14:paraId="547A8392" w14:textId="77777777" w:rsidR="00226BC6" w:rsidRDefault="00226BC6" w:rsidP="00226BC6">
      <w:pPr>
        <w:rPr>
          <w:rFonts w:ascii="Times New Roman" w:hAnsi="Times New Roman" w:cs="Times New Roman"/>
          <w:sz w:val="24"/>
        </w:rPr>
      </w:pPr>
      <w:r w:rsidRPr="00B35A85">
        <w:rPr>
          <w:rFonts w:ascii="Times New Roman" w:hAnsi="Times New Roman" w:cs="Times New Roman"/>
          <w:sz w:val="24"/>
        </w:rPr>
        <w:lastRenderedPageBreak/>
        <w:t xml:space="preserve">TABLE 2: Course-taking of students who </w:t>
      </w:r>
      <w:r w:rsidR="0080674D">
        <w:rPr>
          <w:rFonts w:ascii="Times New Roman" w:hAnsi="Times New Roman" w:cs="Times New Roman"/>
          <w:sz w:val="24"/>
        </w:rPr>
        <w:t>enroll</w:t>
      </w:r>
      <w:r w:rsidR="0080674D" w:rsidRPr="00B35A85">
        <w:rPr>
          <w:rFonts w:ascii="Times New Roman" w:hAnsi="Times New Roman" w:cs="Times New Roman"/>
          <w:sz w:val="24"/>
        </w:rPr>
        <w:t xml:space="preserve"> </w:t>
      </w:r>
      <w:r w:rsidR="0080674D">
        <w:rPr>
          <w:rFonts w:ascii="Times New Roman" w:hAnsi="Times New Roman" w:cs="Times New Roman"/>
          <w:sz w:val="24"/>
        </w:rPr>
        <w:t>in</w:t>
      </w:r>
      <w:r w:rsidR="0080674D" w:rsidRPr="00B35A85">
        <w:rPr>
          <w:rFonts w:ascii="Times New Roman" w:hAnsi="Times New Roman" w:cs="Times New Roman"/>
          <w:sz w:val="24"/>
        </w:rPr>
        <w:t xml:space="preserve"> </w:t>
      </w:r>
      <w:r w:rsidRPr="00B35A85">
        <w:rPr>
          <w:rFonts w:ascii="Times New Roman" w:hAnsi="Times New Roman" w:cs="Times New Roman"/>
          <w:sz w:val="24"/>
        </w:rPr>
        <w:t>the calculus I and physics I interdisciplinary course pair (N=28,228)</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5"/>
        <w:gridCol w:w="2250"/>
        <w:gridCol w:w="1170"/>
        <w:gridCol w:w="1260"/>
        <w:gridCol w:w="1350"/>
      </w:tblGrid>
      <w:tr w:rsidR="00226BC6" w:rsidRPr="00B35A85" w14:paraId="3BD89649" w14:textId="77777777" w:rsidTr="00226BC6">
        <w:trPr>
          <w:trHeight w:val="252"/>
        </w:trPr>
        <w:tc>
          <w:tcPr>
            <w:tcW w:w="1075" w:type="dxa"/>
            <w:tcBorders>
              <w:top w:val="single" w:sz="4" w:space="0" w:color="auto"/>
              <w:bottom w:val="single" w:sz="4" w:space="0" w:color="auto"/>
            </w:tcBorders>
            <w:noWrap/>
            <w:hideMark/>
          </w:tcPr>
          <w:p w14:paraId="7B166787" w14:textId="77777777" w:rsidR="00226BC6" w:rsidRPr="00B35A85" w:rsidRDefault="00226BC6" w:rsidP="00226BC6">
            <w:pPr>
              <w:rPr>
                <w:rFonts w:ascii="Times New Roman" w:eastAsia="Times New Roman" w:hAnsi="Times New Roman" w:cs="Times New Roman"/>
                <w:b/>
                <w:sz w:val="20"/>
                <w:szCs w:val="20"/>
              </w:rPr>
            </w:pPr>
            <w:r w:rsidRPr="00B35A85">
              <w:rPr>
                <w:rFonts w:ascii="Times New Roman" w:eastAsia="Times New Roman" w:hAnsi="Times New Roman" w:cs="Times New Roman"/>
                <w:b/>
                <w:sz w:val="20"/>
                <w:szCs w:val="20"/>
              </w:rPr>
              <w:t>Subject</w:t>
            </w:r>
          </w:p>
        </w:tc>
        <w:tc>
          <w:tcPr>
            <w:tcW w:w="2250" w:type="dxa"/>
            <w:tcBorders>
              <w:top w:val="single" w:sz="4" w:space="0" w:color="auto"/>
              <w:bottom w:val="single" w:sz="4" w:space="0" w:color="auto"/>
            </w:tcBorders>
            <w:noWrap/>
            <w:hideMark/>
          </w:tcPr>
          <w:p w14:paraId="258EB109" w14:textId="77777777" w:rsidR="00226BC6" w:rsidRPr="00B35A85" w:rsidRDefault="00226BC6" w:rsidP="00226BC6">
            <w:pPr>
              <w:jc w:val="center"/>
              <w:rPr>
                <w:rFonts w:ascii="Times New Roman" w:eastAsia="Times New Roman" w:hAnsi="Times New Roman" w:cs="Times New Roman"/>
                <w:b/>
                <w:sz w:val="20"/>
                <w:szCs w:val="20"/>
              </w:rPr>
            </w:pPr>
            <w:r w:rsidRPr="00B35A85">
              <w:rPr>
                <w:rFonts w:ascii="Times New Roman" w:eastAsia="Times New Roman" w:hAnsi="Times New Roman" w:cs="Times New Roman"/>
                <w:b/>
                <w:sz w:val="20"/>
                <w:szCs w:val="20"/>
              </w:rPr>
              <w:t>Course</w:t>
            </w:r>
          </w:p>
        </w:tc>
        <w:tc>
          <w:tcPr>
            <w:tcW w:w="1170" w:type="dxa"/>
            <w:tcBorders>
              <w:top w:val="single" w:sz="4" w:space="0" w:color="auto"/>
              <w:bottom w:val="single" w:sz="4" w:space="0" w:color="auto"/>
            </w:tcBorders>
            <w:noWrap/>
            <w:hideMark/>
          </w:tcPr>
          <w:p w14:paraId="6E2A7E02" w14:textId="77777777" w:rsidR="00226BC6" w:rsidRPr="00B35A85" w:rsidRDefault="00226BC6" w:rsidP="00226BC6">
            <w:pPr>
              <w:jc w:val="center"/>
              <w:rPr>
                <w:rFonts w:ascii="Times New Roman" w:eastAsia="Times New Roman" w:hAnsi="Times New Roman" w:cs="Times New Roman"/>
                <w:b/>
                <w:sz w:val="20"/>
                <w:szCs w:val="20"/>
              </w:rPr>
            </w:pPr>
            <w:r w:rsidRPr="00B35A85">
              <w:rPr>
                <w:rFonts w:ascii="Times New Roman" w:eastAsia="Times New Roman" w:hAnsi="Times New Roman" w:cs="Times New Roman"/>
                <w:b/>
                <w:sz w:val="20"/>
                <w:szCs w:val="20"/>
              </w:rPr>
              <w:t>Start</w:t>
            </w:r>
          </w:p>
        </w:tc>
        <w:tc>
          <w:tcPr>
            <w:tcW w:w="1260" w:type="dxa"/>
            <w:tcBorders>
              <w:top w:val="single" w:sz="4" w:space="0" w:color="auto"/>
              <w:bottom w:val="single" w:sz="4" w:space="0" w:color="auto"/>
            </w:tcBorders>
            <w:noWrap/>
            <w:hideMark/>
          </w:tcPr>
          <w:p w14:paraId="6F310776" w14:textId="77777777" w:rsidR="00226BC6" w:rsidRPr="00B35A85" w:rsidRDefault="00226BC6" w:rsidP="00226BC6">
            <w:pPr>
              <w:jc w:val="center"/>
              <w:rPr>
                <w:rFonts w:ascii="Times New Roman" w:eastAsia="Times New Roman" w:hAnsi="Times New Roman" w:cs="Times New Roman"/>
                <w:b/>
                <w:sz w:val="20"/>
                <w:szCs w:val="20"/>
              </w:rPr>
            </w:pPr>
            <w:r w:rsidRPr="00B35A85">
              <w:rPr>
                <w:rFonts w:ascii="Times New Roman" w:eastAsia="Times New Roman" w:hAnsi="Times New Roman" w:cs="Times New Roman"/>
                <w:b/>
                <w:sz w:val="20"/>
                <w:szCs w:val="20"/>
              </w:rPr>
              <w:t>Ever Enroll</w:t>
            </w:r>
          </w:p>
        </w:tc>
        <w:tc>
          <w:tcPr>
            <w:tcW w:w="1350" w:type="dxa"/>
            <w:tcBorders>
              <w:top w:val="single" w:sz="4" w:space="0" w:color="auto"/>
              <w:bottom w:val="single" w:sz="4" w:space="0" w:color="auto"/>
            </w:tcBorders>
            <w:noWrap/>
            <w:hideMark/>
          </w:tcPr>
          <w:p w14:paraId="46F83A12" w14:textId="77777777" w:rsidR="00226BC6" w:rsidRPr="00B35A85" w:rsidRDefault="00226BC6" w:rsidP="00226BC6">
            <w:pPr>
              <w:jc w:val="center"/>
              <w:rPr>
                <w:rFonts w:ascii="Times New Roman" w:eastAsia="Times New Roman" w:hAnsi="Times New Roman" w:cs="Times New Roman"/>
                <w:b/>
                <w:sz w:val="20"/>
                <w:szCs w:val="20"/>
              </w:rPr>
            </w:pPr>
            <w:r w:rsidRPr="00B35A85">
              <w:rPr>
                <w:rFonts w:ascii="Times New Roman" w:eastAsia="Times New Roman" w:hAnsi="Times New Roman" w:cs="Times New Roman"/>
                <w:b/>
                <w:sz w:val="20"/>
                <w:szCs w:val="20"/>
              </w:rPr>
              <w:t>Final Enroll</w:t>
            </w:r>
          </w:p>
        </w:tc>
      </w:tr>
      <w:tr w:rsidR="00226BC6" w:rsidRPr="00B35A85" w14:paraId="2F998F51" w14:textId="77777777" w:rsidTr="00226BC6">
        <w:trPr>
          <w:trHeight w:val="252"/>
        </w:trPr>
        <w:tc>
          <w:tcPr>
            <w:tcW w:w="1075" w:type="dxa"/>
            <w:tcBorders>
              <w:top w:val="single" w:sz="4" w:space="0" w:color="auto"/>
            </w:tcBorders>
            <w:noWrap/>
            <w:hideMark/>
          </w:tcPr>
          <w:p w14:paraId="7F0A4EE0" w14:textId="77777777" w:rsidR="00226BC6" w:rsidRPr="00B35A85" w:rsidRDefault="00226BC6" w:rsidP="00226BC6">
            <w:pPr>
              <w:rPr>
                <w:rFonts w:ascii="Times New Roman" w:eastAsia="Times New Roman" w:hAnsi="Times New Roman" w:cs="Times New Roman"/>
                <w:b/>
                <w:sz w:val="20"/>
                <w:szCs w:val="20"/>
              </w:rPr>
            </w:pPr>
            <w:r w:rsidRPr="00B35A85">
              <w:rPr>
                <w:rFonts w:ascii="Times New Roman" w:eastAsia="Times New Roman" w:hAnsi="Times New Roman" w:cs="Times New Roman"/>
                <w:b/>
                <w:sz w:val="20"/>
                <w:szCs w:val="20"/>
              </w:rPr>
              <w:t>Math</w:t>
            </w:r>
          </w:p>
        </w:tc>
        <w:tc>
          <w:tcPr>
            <w:tcW w:w="2250" w:type="dxa"/>
            <w:tcBorders>
              <w:top w:val="single" w:sz="4" w:space="0" w:color="auto"/>
            </w:tcBorders>
            <w:noWrap/>
            <w:hideMark/>
          </w:tcPr>
          <w:p w14:paraId="4980D7D8" w14:textId="77777777" w:rsidR="00226BC6" w:rsidRPr="00B35A85" w:rsidRDefault="00226BC6" w:rsidP="00226BC6">
            <w:pPr>
              <w:jc w:val="right"/>
              <w:rPr>
                <w:rFonts w:ascii="Times New Roman" w:eastAsia="Times New Roman" w:hAnsi="Times New Roman" w:cs="Times New Roman"/>
                <w:sz w:val="20"/>
                <w:szCs w:val="20"/>
              </w:rPr>
            </w:pPr>
            <w:r w:rsidRPr="00B35A85">
              <w:rPr>
                <w:rFonts w:ascii="Times New Roman" w:eastAsia="Times New Roman" w:hAnsi="Times New Roman" w:cs="Times New Roman"/>
                <w:sz w:val="20"/>
                <w:szCs w:val="20"/>
              </w:rPr>
              <w:t>Statistics</w:t>
            </w:r>
          </w:p>
        </w:tc>
        <w:tc>
          <w:tcPr>
            <w:tcW w:w="1170" w:type="dxa"/>
            <w:tcBorders>
              <w:top w:val="single" w:sz="4" w:space="0" w:color="auto"/>
            </w:tcBorders>
            <w:noWrap/>
            <w:hideMark/>
          </w:tcPr>
          <w:p w14:paraId="6EE545AB" w14:textId="77777777" w:rsidR="00226BC6" w:rsidRPr="00B35A85" w:rsidRDefault="00226BC6" w:rsidP="00226BC6">
            <w:pPr>
              <w:jc w:val="center"/>
              <w:rPr>
                <w:rFonts w:ascii="Times New Roman" w:eastAsia="Times New Roman" w:hAnsi="Times New Roman" w:cs="Times New Roman"/>
                <w:sz w:val="20"/>
                <w:szCs w:val="20"/>
              </w:rPr>
            </w:pPr>
            <w:r w:rsidRPr="00B35A85">
              <w:rPr>
                <w:rFonts w:ascii="Times New Roman" w:eastAsia="Times New Roman" w:hAnsi="Times New Roman" w:cs="Times New Roman"/>
                <w:sz w:val="20"/>
                <w:szCs w:val="20"/>
              </w:rPr>
              <w:t>0.053</w:t>
            </w:r>
          </w:p>
        </w:tc>
        <w:tc>
          <w:tcPr>
            <w:tcW w:w="1260" w:type="dxa"/>
            <w:tcBorders>
              <w:top w:val="single" w:sz="4" w:space="0" w:color="auto"/>
            </w:tcBorders>
            <w:noWrap/>
            <w:hideMark/>
          </w:tcPr>
          <w:p w14:paraId="6CAEA6E8" w14:textId="77777777" w:rsidR="00226BC6" w:rsidRPr="00B35A85" w:rsidRDefault="00226BC6" w:rsidP="00226BC6">
            <w:pPr>
              <w:jc w:val="center"/>
              <w:rPr>
                <w:rFonts w:ascii="Times New Roman" w:eastAsia="Times New Roman" w:hAnsi="Times New Roman" w:cs="Times New Roman"/>
                <w:sz w:val="20"/>
                <w:szCs w:val="20"/>
              </w:rPr>
            </w:pPr>
            <w:r w:rsidRPr="00B35A85">
              <w:rPr>
                <w:rFonts w:ascii="Times New Roman" w:eastAsia="Times New Roman" w:hAnsi="Times New Roman" w:cs="Times New Roman"/>
                <w:sz w:val="20"/>
                <w:szCs w:val="20"/>
              </w:rPr>
              <w:t>0.230</w:t>
            </w:r>
          </w:p>
        </w:tc>
        <w:tc>
          <w:tcPr>
            <w:tcW w:w="1350" w:type="dxa"/>
            <w:tcBorders>
              <w:top w:val="single" w:sz="4" w:space="0" w:color="auto"/>
            </w:tcBorders>
            <w:noWrap/>
            <w:hideMark/>
          </w:tcPr>
          <w:p w14:paraId="034600CE" w14:textId="77777777" w:rsidR="00226BC6" w:rsidRPr="00B35A85" w:rsidRDefault="00226BC6" w:rsidP="00226BC6">
            <w:pPr>
              <w:jc w:val="center"/>
              <w:rPr>
                <w:rFonts w:ascii="Times New Roman" w:eastAsia="Times New Roman" w:hAnsi="Times New Roman" w:cs="Times New Roman"/>
                <w:sz w:val="20"/>
                <w:szCs w:val="20"/>
              </w:rPr>
            </w:pPr>
            <w:r w:rsidRPr="00B35A85">
              <w:rPr>
                <w:rFonts w:ascii="Times New Roman" w:eastAsia="Times New Roman" w:hAnsi="Times New Roman" w:cs="Times New Roman"/>
                <w:sz w:val="20"/>
                <w:szCs w:val="20"/>
              </w:rPr>
              <w:t>0.116</w:t>
            </w:r>
          </w:p>
        </w:tc>
      </w:tr>
      <w:tr w:rsidR="00226BC6" w:rsidRPr="00B35A85" w14:paraId="13E7923D" w14:textId="77777777" w:rsidTr="00226BC6">
        <w:trPr>
          <w:trHeight w:val="252"/>
        </w:trPr>
        <w:tc>
          <w:tcPr>
            <w:tcW w:w="1075" w:type="dxa"/>
            <w:noWrap/>
            <w:hideMark/>
          </w:tcPr>
          <w:p w14:paraId="311BDDE9" w14:textId="77777777" w:rsidR="00226BC6" w:rsidRPr="00B35A85" w:rsidRDefault="00226BC6" w:rsidP="00226BC6">
            <w:pPr>
              <w:jc w:val="right"/>
              <w:rPr>
                <w:rFonts w:ascii="Times New Roman" w:eastAsia="Times New Roman" w:hAnsi="Times New Roman" w:cs="Times New Roman"/>
                <w:b/>
                <w:sz w:val="20"/>
                <w:szCs w:val="20"/>
              </w:rPr>
            </w:pPr>
          </w:p>
        </w:tc>
        <w:tc>
          <w:tcPr>
            <w:tcW w:w="2250" w:type="dxa"/>
            <w:noWrap/>
            <w:hideMark/>
          </w:tcPr>
          <w:p w14:paraId="151D0911" w14:textId="77777777" w:rsidR="00226BC6" w:rsidRPr="00B35A85" w:rsidRDefault="00226BC6" w:rsidP="00226BC6">
            <w:pPr>
              <w:jc w:val="right"/>
              <w:rPr>
                <w:rFonts w:ascii="Times New Roman" w:eastAsia="Times New Roman" w:hAnsi="Times New Roman" w:cs="Times New Roman"/>
                <w:sz w:val="20"/>
                <w:szCs w:val="20"/>
              </w:rPr>
            </w:pPr>
            <w:r w:rsidRPr="00B35A85">
              <w:rPr>
                <w:rFonts w:ascii="Times New Roman" w:eastAsia="Times New Roman" w:hAnsi="Times New Roman" w:cs="Times New Roman"/>
                <w:sz w:val="20"/>
                <w:szCs w:val="20"/>
              </w:rPr>
              <w:t>College Algebra</w:t>
            </w:r>
          </w:p>
        </w:tc>
        <w:tc>
          <w:tcPr>
            <w:tcW w:w="1170" w:type="dxa"/>
            <w:noWrap/>
            <w:hideMark/>
          </w:tcPr>
          <w:p w14:paraId="15F1875A" w14:textId="77777777" w:rsidR="00226BC6" w:rsidRPr="00B35A85" w:rsidRDefault="00226BC6" w:rsidP="00226BC6">
            <w:pPr>
              <w:jc w:val="center"/>
              <w:rPr>
                <w:rFonts w:ascii="Times New Roman" w:eastAsia="Times New Roman" w:hAnsi="Times New Roman" w:cs="Times New Roman"/>
                <w:sz w:val="20"/>
                <w:szCs w:val="20"/>
              </w:rPr>
            </w:pPr>
            <w:r w:rsidRPr="00B35A85">
              <w:rPr>
                <w:rFonts w:ascii="Times New Roman" w:eastAsia="Times New Roman" w:hAnsi="Times New Roman" w:cs="Times New Roman"/>
                <w:sz w:val="20"/>
                <w:szCs w:val="20"/>
              </w:rPr>
              <w:t>0.126</w:t>
            </w:r>
          </w:p>
        </w:tc>
        <w:tc>
          <w:tcPr>
            <w:tcW w:w="1260" w:type="dxa"/>
            <w:noWrap/>
            <w:hideMark/>
          </w:tcPr>
          <w:p w14:paraId="6DE247AE" w14:textId="77777777" w:rsidR="00226BC6" w:rsidRPr="00B35A85" w:rsidRDefault="00226BC6" w:rsidP="00226BC6">
            <w:pPr>
              <w:jc w:val="center"/>
              <w:rPr>
                <w:rFonts w:ascii="Times New Roman" w:eastAsia="Times New Roman" w:hAnsi="Times New Roman" w:cs="Times New Roman"/>
                <w:sz w:val="20"/>
                <w:szCs w:val="20"/>
              </w:rPr>
            </w:pPr>
            <w:r w:rsidRPr="00B35A85">
              <w:rPr>
                <w:rFonts w:ascii="Times New Roman" w:eastAsia="Times New Roman" w:hAnsi="Times New Roman" w:cs="Times New Roman"/>
                <w:sz w:val="20"/>
                <w:szCs w:val="20"/>
              </w:rPr>
              <w:t>0.163</w:t>
            </w:r>
          </w:p>
        </w:tc>
        <w:tc>
          <w:tcPr>
            <w:tcW w:w="1350" w:type="dxa"/>
            <w:noWrap/>
            <w:hideMark/>
          </w:tcPr>
          <w:p w14:paraId="1CE4E310" w14:textId="77777777" w:rsidR="00226BC6" w:rsidRPr="00B35A85" w:rsidRDefault="00226BC6" w:rsidP="00226BC6">
            <w:pPr>
              <w:jc w:val="center"/>
              <w:rPr>
                <w:rFonts w:ascii="Times New Roman" w:eastAsia="Times New Roman" w:hAnsi="Times New Roman" w:cs="Times New Roman"/>
                <w:sz w:val="20"/>
                <w:szCs w:val="20"/>
              </w:rPr>
            </w:pPr>
            <w:r w:rsidRPr="00B35A85">
              <w:rPr>
                <w:rFonts w:ascii="Times New Roman" w:eastAsia="Times New Roman" w:hAnsi="Times New Roman" w:cs="Times New Roman"/>
                <w:sz w:val="20"/>
                <w:szCs w:val="20"/>
              </w:rPr>
              <w:t>0.002</w:t>
            </w:r>
          </w:p>
        </w:tc>
      </w:tr>
      <w:tr w:rsidR="00226BC6" w:rsidRPr="00B35A85" w14:paraId="3139C37D" w14:textId="77777777" w:rsidTr="00226BC6">
        <w:trPr>
          <w:trHeight w:val="252"/>
        </w:trPr>
        <w:tc>
          <w:tcPr>
            <w:tcW w:w="1075" w:type="dxa"/>
            <w:noWrap/>
            <w:hideMark/>
          </w:tcPr>
          <w:p w14:paraId="35E1F531" w14:textId="77777777" w:rsidR="00226BC6" w:rsidRPr="00B35A85" w:rsidRDefault="00226BC6" w:rsidP="00226BC6">
            <w:pPr>
              <w:jc w:val="right"/>
              <w:rPr>
                <w:rFonts w:ascii="Times New Roman" w:eastAsia="Times New Roman" w:hAnsi="Times New Roman" w:cs="Times New Roman"/>
                <w:b/>
                <w:sz w:val="20"/>
                <w:szCs w:val="20"/>
              </w:rPr>
            </w:pPr>
          </w:p>
        </w:tc>
        <w:tc>
          <w:tcPr>
            <w:tcW w:w="2250" w:type="dxa"/>
            <w:noWrap/>
            <w:hideMark/>
          </w:tcPr>
          <w:p w14:paraId="38883A22" w14:textId="77777777" w:rsidR="00226BC6" w:rsidRPr="00B35A85" w:rsidRDefault="00226BC6" w:rsidP="00226BC6">
            <w:pPr>
              <w:jc w:val="right"/>
              <w:rPr>
                <w:rFonts w:ascii="Times New Roman" w:eastAsia="Times New Roman" w:hAnsi="Times New Roman" w:cs="Times New Roman"/>
                <w:sz w:val="20"/>
                <w:szCs w:val="20"/>
              </w:rPr>
            </w:pPr>
            <w:r w:rsidRPr="00B35A85">
              <w:rPr>
                <w:rFonts w:ascii="Times New Roman" w:eastAsia="Times New Roman" w:hAnsi="Times New Roman" w:cs="Times New Roman"/>
                <w:sz w:val="20"/>
                <w:szCs w:val="20"/>
              </w:rPr>
              <w:t>Trigonometry</w:t>
            </w:r>
          </w:p>
        </w:tc>
        <w:tc>
          <w:tcPr>
            <w:tcW w:w="1170" w:type="dxa"/>
            <w:noWrap/>
            <w:hideMark/>
          </w:tcPr>
          <w:p w14:paraId="5D2B0251" w14:textId="77777777" w:rsidR="00226BC6" w:rsidRPr="00B35A85" w:rsidRDefault="00226BC6" w:rsidP="00226BC6">
            <w:pPr>
              <w:jc w:val="center"/>
              <w:rPr>
                <w:rFonts w:ascii="Times New Roman" w:eastAsia="Times New Roman" w:hAnsi="Times New Roman" w:cs="Times New Roman"/>
                <w:sz w:val="20"/>
                <w:szCs w:val="20"/>
              </w:rPr>
            </w:pPr>
            <w:r w:rsidRPr="00B35A85">
              <w:rPr>
                <w:rFonts w:ascii="Times New Roman" w:eastAsia="Times New Roman" w:hAnsi="Times New Roman" w:cs="Times New Roman"/>
                <w:sz w:val="20"/>
                <w:szCs w:val="20"/>
              </w:rPr>
              <w:t>0.256</w:t>
            </w:r>
          </w:p>
        </w:tc>
        <w:tc>
          <w:tcPr>
            <w:tcW w:w="1260" w:type="dxa"/>
            <w:noWrap/>
            <w:hideMark/>
          </w:tcPr>
          <w:p w14:paraId="5604C0B4" w14:textId="77777777" w:rsidR="00226BC6" w:rsidRPr="00B35A85" w:rsidRDefault="00226BC6" w:rsidP="00226BC6">
            <w:pPr>
              <w:jc w:val="center"/>
              <w:rPr>
                <w:rFonts w:ascii="Times New Roman" w:eastAsia="Times New Roman" w:hAnsi="Times New Roman" w:cs="Times New Roman"/>
                <w:sz w:val="20"/>
                <w:szCs w:val="20"/>
              </w:rPr>
            </w:pPr>
            <w:r w:rsidRPr="00B35A85">
              <w:rPr>
                <w:rFonts w:ascii="Times New Roman" w:eastAsia="Times New Roman" w:hAnsi="Times New Roman" w:cs="Times New Roman"/>
                <w:sz w:val="20"/>
                <w:szCs w:val="20"/>
              </w:rPr>
              <w:t>0.390</w:t>
            </w:r>
          </w:p>
        </w:tc>
        <w:tc>
          <w:tcPr>
            <w:tcW w:w="1350" w:type="dxa"/>
            <w:noWrap/>
            <w:hideMark/>
          </w:tcPr>
          <w:p w14:paraId="0F61AD15" w14:textId="77777777" w:rsidR="00226BC6" w:rsidRPr="00B35A85" w:rsidRDefault="00226BC6" w:rsidP="00226BC6">
            <w:pPr>
              <w:jc w:val="center"/>
              <w:rPr>
                <w:rFonts w:ascii="Times New Roman" w:eastAsia="Times New Roman" w:hAnsi="Times New Roman" w:cs="Times New Roman"/>
                <w:sz w:val="20"/>
                <w:szCs w:val="20"/>
              </w:rPr>
            </w:pPr>
            <w:r w:rsidRPr="00B35A85">
              <w:rPr>
                <w:rFonts w:ascii="Times New Roman" w:eastAsia="Times New Roman" w:hAnsi="Times New Roman" w:cs="Times New Roman"/>
                <w:sz w:val="20"/>
                <w:szCs w:val="20"/>
              </w:rPr>
              <w:t>0.004</w:t>
            </w:r>
          </w:p>
        </w:tc>
      </w:tr>
      <w:tr w:rsidR="00226BC6" w:rsidRPr="00B35A85" w14:paraId="72036096" w14:textId="77777777" w:rsidTr="00226BC6">
        <w:trPr>
          <w:trHeight w:val="252"/>
        </w:trPr>
        <w:tc>
          <w:tcPr>
            <w:tcW w:w="1075" w:type="dxa"/>
            <w:noWrap/>
            <w:hideMark/>
          </w:tcPr>
          <w:p w14:paraId="100D697B" w14:textId="77777777" w:rsidR="00226BC6" w:rsidRPr="00B35A85" w:rsidRDefault="00226BC6" w:rsidP="00226BC6">
            <w:pPr>
              <w:jc w:val="right"/>
              <w:rPr>
                <w:rFonts w:ascii="Times New Roman" w:eastAsia="Times New Roman" w:hAnsi="Times New Roman" w:cs="Times New Roman"/>
                <w:b/>
                <w:sz w:val="20"/>
                <w:szCs w:val="20"/>
              </w:rPr>
            </w:pPr>
          </w:p>
        </w:tc>
        <w:tc>
          <w:tcPr>
            <w:tcW w:w="2250" w:type="dxa"/>
            <w:noWrap/>
            <w:hideMark/>
          </w:tcPr>
          <w:p w14:paraId="6D9449B4" w14:textId="77777777" w:rsidR="00226BC6" w:rsidRPr="00B35A85" w:rsidRDefault="00226BC6" w:rsidP="00226BC6">
            <w:pPr>
              <w:jc w:val="right"/>
              <w:rPr>
                <w:rFonts w:ascii="Times New Roman" w:eastAsia="Times New Roman" w:hAnsi="Times New Roman" w:cs="Times New Roman"/>
                <w:sz w:val="20"/>
                <w:szCs w:val="20"/>
              </w:rPr>
            </w:pPr>
            <w:r w:rsidRPr="00B35A85">
              <w:rPr>
                <w:rFonts w:ascii="Times New Roman" w:eastAsia="Times New Roman" w:hAnsi="Times New Roman" w:cs="Times New Roman"/>
                <w:sz w:val="20"/>
                <w:szCs w:val="20"/>
              </w:rPr>
              <w:t>Pre-Calculus</w:t>
            </w:r>
          </w:p>
        </w:tc>
        <w:tc>
          <w:tcPr>
            <w:tcW w:w="1170" w:type="dxa"/>
            <w:noWrap/>
            <w:hideMark/>
          </w:tcPr>
          <w:p w14:paraId="6CDC7D2B" w14:textId="77777777" w:rsidR="00226BC6" w:rsidRPr="00B35A85" w:rsidRDefault="00226BC6" w:rsidP="00226BC6">
            <w:pPr>
              <w:jc w:val="center"/>
              <w:rPr>
                <w:rFonts w:ascii="Times New Roman" w:eastAsia="Times New Roman" w:hAnsi="Times New Roman" w:cs="Times New Roman"/>
                <w:sz w:val="20"/>
                <w:szCs w:val="20"/>
              </w:rPr>
            </w:pPr>
            <w:r w:rsidRPr="00B35A85">
              <w:rPr>
                <w:rFonts w:ascii="Times New Roman" w:eastAsia="Times New Roman" w:hAnsi="Times New Roman" w:cs="Times New Roman"/>
                <w:sz w:val="20"/>
                <w:szCs w:val="20"/>
              </w:rPr>
              <w:t>0.212</w:t>
            </w:r>
          </w:p>
        </w:tc>
        <w:tc>
          <w:tcPr>
            <w:tcW w:w="1260" w:type="dxa"/>
            <w:noWrap/>
            <w:hideMark/>
          </w:tcPr>
          <w:p w14:paraId="61BAC159" w14:textId="77777777" w:rsidR="00226BC6" w:rsidRPr="00B35A85" w:rsidRDefault="00226BC6" w:rsidP="00226BC6">
            <w:pPr>
              <w:jc w:val="center"/>
              <w:rPr>
                <w:rFonts w:ascii="Times New Roman" w:eastAsia="Times New Roman" w:hAnsi="Times New Roman" w:cs="Times New Roman"/>
                <w:sz w:val="20"/>
                <w:szCs w:val="20"/>
              </w:rPr>
            </w:pPr>
            <w:r w:rsidRPr="00B35A85">
              <w:rPr>
                <w:rFonts w:ascii="Times New Roman" w:eastAsia="Times New Roman" w:hAnsi="Times New Roman" w:cs="Times New Roman"/>
                <w:sz w:val="20"/>
                <w:szCs w:val="20"/>
              </w:rPr>
              <w:t>0.512</w:t>
            </w:r>
          </w:p>
        </w:tc>
        <w:tc>
          <w:tcPr>
            <w:tcW w:w="1350" w:type="dxa"/>
            <w:noWrap/>
            <w:hideMark/>
          </w:tcPr>
          <w:p w14:paraId="54984E5E" w14:textId="77777777" w:rsidR="00226BC6" w:rsidRPr="00B35A85" w:rsidRDefault="00226BC6" w:rsidP="00226BC6">
            <w:pPr>
              <w:jc w:val="center"/>
              <w:rPr>
                <w:rFonts w:ascii="Times New Roman" w:eastAsia="Times New Roman" w:hAnsi="Times New Roman" w:cs="Times New Roman"/>
                <w:sz w:val="20"/>
                <w:szCs w:val="20"/>
              </w:rPr>
            </w:pPr>
            <w:r w:rsidRPr="00B35A85">
              <w:rPr>
                <w:rFonts w:ascii="Times New Roman" w:eastAsia="Times New Roman" w:hAnsi="Times New Roman" w:cs="Times New Roman"/>
                <w:sz w:val="20"/>
                <w:szCs w:val="20"/>
              </w:rPr>
              <w:t>0.002</w:t>
            </w:r>
          </w:p>
        </w:tc>
      </w:tr>
      <w:tr w:rsidR="00226BC6" w:rsidRPr="00B35A85" w14:paraId="23DABC28" w14:textId="77777777" w:rsidTr="00226BC6">
        <w:trPr>
          <w:trHeight w:val="252"/>
        </w:trPr>
        <w:tc>
          <w:tcPr>
            <w:tcW w:w="1075" w:type="dxa"/>
            <w:noWrap/>
            <w:hideMark/>
          </w:tcPr>
          <w:p w14:paraId="069D3EAD" w14:textId="77777777" w:rsidR="00226BC6" w:rsidRPr="00B35A85" w:rsidRDefault="00226BC6" w:rsidP="00226BC6">
            <w:pPr>
              <w:jc w:val="right"/>
              <w:rPr>
                <w:rFonts w:ascii="Times New Roman" w:eastAsia="Times New Roman" w:hAnsi="Times New Roman" w:cs="Times New Roman"/>
                <w:b/>
                <w:sz w:val="20"/>
                <w:szCs w:val="20"/>
              </w:rPr>
            </w:pPr>
          </w:p>
        </w:tc>
        <w:tc>
          <w:tcPr>
            <w:tcW w:w="2250" w:type="dxa"/>
            <w:noWrap/>
            <w:hideMark/>
          </w:tcPr>
          <w:p w14:paraId="597A20C7" w14:textId="77777777" w:rsidR="00226BC6" w:rsidRPr="00B35A85" w:rsidRDefault="00226BC6" w:rsidP="00226BC6">
            <w:pPr>
              <w:jc w:val="right"/>
              <w:rPr>
                <w:rFonts w:ascii="Times New Roman" w:eastAsia="Times New Roman" w:hAnsi="Times New Roman" w:cs="Times New Roman"/>
                <w:sz w:val="20"/>
                <w:szCs w:val="20"/>
              </w:rPr>
            </w:pPr>
            <w:r w:rsidRPr="00B35A85">
              <w:rPr>
                <w:rFonts w:ascii="Times New Roman" w:eastAsia="Times New Roman" w:hAnsi="Times New Roman" w:cs="Times New Roman"/>
                <w:sz w:val="20"/>
                <w:szCs w:val="20"/>
              </w:rPr>
              <w:t>Calculus I</w:t>
            </w:r>
          </w:p>
        </w:tc>
        <w:tc>
          <w:tcPr>
            <w:tcW w:w="1170" w:type="dxa"/>
            <w:noWrap/>
            <w:hideMark/>
          </w:tcPr>
          <w:p w14:paraId="3D485965" w14:textId="77777777" w:rsidR="00226BC6" w:rsidRPr="00B35A85" w:rsidRDefault="00226BC6" w:rsidP="00226BC6">
            <w:pPr>
              <w:jc w:val="center"/>
              <w:rPr>
                <w:rFonts w:ascii="Times New Roman" w:eastAsia="Times New Roman" w:hAnsi="Times New Roman" w:cs="Times New Roman"/>
                <w:sz w:val="20"/>
                <w:szCs w:val="20"/>
              </w:rPr>
            </w:pPr>
            <w:r w:rsidRPr="00B35A85">
              <w:rPr>
                <w:rFonts w:ascii="Times New Roman" w:eastAsia="Times New Roman" w:hAnsi="Times New Roman" w:cs="Times New Roman"/>
                <w:sz w:val="20"/>
                <w:szCs w:val="20"/>
              </w:rPr>
              <w:t>0.328</w:t>
            </w:r>
          </w:p>
        </w:tc>
        <w:tc>
          <w:tcPr>
            <w:tcW w:w="1260" w:type="dxa"/>
            <w:noWrap/>
            <w:hideMark/>
          </w:tcPr>
          <w:p w14:paraId="1B9A4F23" w14:textId="77777777" w:rsidR="00226BC6" w:rsidRPr="00B35A85" w:rsidRDefault="00226BC6" w:rsidP="00226BC6">
            <w:pPr>
              <w:jc w:val="center"/>
              <w:rPr>
                <w:rFonts w:ascii="Times New Roman" w:eastAsia="Times New Roman" w:hAnsi="Times New Roman" w:cs="Times New Roman"/>
                <w:sz w:val="20"/>
                <w:szCs w:val="20"/>
              </w:rPr>
            </w:pPr>
            <w:r w:rsidRPr="00B35A85">
              <w:rPr>
                <w:rFonts w:ascii="Times New Roman" w:eastAsia="Times New Roman" w:hAnsi="Times New Roman" w:cs="Times New Roman"/>
                <w:sz w:val="20"/>
                <w:szCs w:val="20"/>
              </w:rPr>
              <w:t>1.000</w:t>
            </w:r>
          </w:p>
        </w:tc>
        <w:tc>
          <w:tcPr>
            <w:tcW w:w="1350" w:type="dxa"/>
            <w:noWrap/>
            <w:hideMark/>
          </w:tcPr>
          <w:p w14:paraId="09DAA438" w14:textId="77777777" w:rsidR="00226BC6" w:rsidRPr="00B35A85" w:rsidRDefault="00226BC6" w:rsidP="00226BC6">
            <w:pPr>
              <w:jc w:val="center"/>
              <w:rPr>
                <w:rFonts w:ascii="Times New Roman" w:eastAsia="Times New Roman" w:hAnsi="Times New Roman" w:cs="Times New Roman"/>
                <w:sz w:val="20"/>
                <w:szCs w:val="20"/>
              </w:rPr>
            </w:pPr>
            <w:r w:rsidRPr="00B35A85">
              <w:rPr>
                <w:rFonts w:ascii="Times New Roman" w:eastAsia="Times New Roman" w:hAnsi="Times New Roman" w:cs="Times New Roman"/>
                <w:sz w:val="20"/>
                <w:szCs w:val="20"/>
              </w:rPr>
              <w:t>0.047</w:t>
            </w:r>
          </w:p>
        </w:tc>
      </w:tr>
      <w:tr w:rsidR="00226BC6" w:rsidRPr="00B35A85" w14:paraId="438E116D" w14:textId="77777777" w:rsidTr="00226BC6">
        <w:trPr>
          <w:trHeight w:val="252"/>
        </w:trPr>
        <w:tc>
          <w:tcPr>
            <w:tcW w:w="1075" w:type="dxa"/>
            <w:noWrap/>
            <w:hideMark/>
          </w:tcPr>
          <w:p w14:paraId="19710CC5" w14:textId="77777777" w:rsidR="00226BC6" w:rsidRPr="00B35A85" w:rsidRDefault="00226BC6" w:rsidP="00226BC6">
            <w:pPr>
              <w:jc w:val="right"/>
              <w:rPr>
                <w:rFonts w:ascii="Times New Roman" w:eastAsia="Times New Roman" w:hAnsi="Times New Roman" w:cs="Times New Roman"/>
                <w:b/>
                <w:sz w:val="20"/>
                <w:szCs w:val="20"/>
              </w:rPr>
            </w:pPr>
          </w:p>
        </w:tc>
        <w:tc>
          <w:tcPr>
            <w:tcW w:w="2250" w:type="dxa"/>
            <w:noWrap/>
            <w:hideMark/>
          </w:tcPr>
          <w:p w14:paraId="2103AAEC" w14:textId="77777777" w:rsidR="00226BC6" w:rsidRPr="00B35A85" w:rsidRDefault="00226BC6" w:rsidP="00226BC6">
            <w:pPr>
              <w:jc w:val="right"/>
              <w:rPr>
                <w:rFonts w:ascii="Times New Roman" w:eastAsia="Times New Roman" w:hAnsi="Times New Roman" w:cs="Times New Roman"/>
                <w:sz w:val="20"/>
                <w:szCs w:val="20"/>
              </w:rPr>
            </w:pPr>
            <w:r w:rsidRPr="00B35A85">
              <w:rPr>
                <w:rFonts w:ascii="Times New Roman" w:eastAsia="Times New Roman" w:hAnsi="Times New Roman" w:cs="Times New Roman"/>
                <w:sz w:val="20"/>
                <w:szCs w:val="20"/>
              </w:rPr>
              <w:t>Calculus II</w:t>
            </w:r>
          </w:p>
        </w:tc>
        <w:tc>
          <w:tcPr>
            <w:tcW w:w="1170" w:type="dxa"/>
            <w:noWrap/>
            <w:hideMark/>
          </w:tcPr>
          <w:p w14:paraId="24C0F2E8" w14:textId="77777777" w:rsidR="00226BC6" w:rsidRPr="00B35A85" w:rsidRDefault="00226BC6" w:rsidP="00226BC6">
            <w:pPr>
              <w:jc w:val="center"/>
              <w:rPr>
                <w:rFonts w:ascii="Times New Roman" w:eastAsia="Times New Roman" w:hAnsi="Times New Roman" w:cs="Times New Roman"/>
                <w:sz w:val="20"/>
                <w:szCs w:val="20"/>
              </w:rPr>
            </w:pPr>
            <w:r w:rsidRPr="00B35A85">
              <w:rPr>
                <w:rFonts w:ascii="Times New Roman" w:eastAsia="Times New Roman" w:hAnsi="Times New Roman" w:cs="Times New Roman"/>
                <w:sz w:val="20"/>
                <w:szCs w:val="20"/>
              </w:rPr>
              <w:t>0.048</w:t>
            </w:r>
          </w:p>
        </w:tc>
        <w:tc>
          <w:tcPr>
            <w:tcW w:w="1260" w:type="dxa"/>
            <w:noWrap/>
            <w:hideMark/>
          </w:tcPr>
          <w:p w14:paraId="19337996" w14:textId="77777777" w:rsidR="00226BC6" w:rsidRPr="00B35A85" w:rsidRDefault="00226BC6" w:rsidP="00226BC6">
            <w:pPr>
              <w:jc w:val="center"/>
              <w:rPr>
                <w:rFonts w:ascii="Times New Roman" w:eastAsia="Times New Roman" w:hAnsi="Times New Roman" w:cs="Times New Roman"/>
                <w:sz w:val="20"/>
                <w:szCs w:val="20"/>
              </w:rPr>
            </w:pPr>
            <w:r w:rsidRPr="00B35A85">
              <w:rPr>
                <w:rFonts w:ascii="Times New Roman" w:eastAsia="Times New Roman" w:hAnsi="Times New Roman" w:cs="Times New Roman"/>
                <w:sz w:val="20"/>
                <w:szCs w:val="20"/>
              </w:rPr>
              <w:t>0.934</w:t>
            </w:r>
          </w:p>
        </w:tc>
        <w:tc>
          <w:tcPr>
            <w:tcW w:w="1350" w:type="dxa"/>
            <w:noWrap/>
            <w:hideMark/>
          </w:tcPr>
          <w:p w14:paraId="66CC3805" w14:textId="77777777" w:rsidR="00226BC6" w:rsidRPr="00B35A85" w:rsidRDefault="00226BC6" w:rsidP="00226BC6">
            <w:pPr>
              <w:jc w:val="center"/>
              <w:rPr>
                <w:rFonts w:ascii="Times New Roman" w:eastAsia="Times New Roman" w:hAnsi="Times New Roman" w:cs="Times New Roman"/>
                <w:sz w:val="20"/>
                <w:szCs w:val="20"/>
              </w:rPr>
            </w:pPr>
            <w:r w:rsidRPr="00B35A85">
              <w:rPr>
                <w:rFonts w:ascii="Times New Roman" w:eastAsia="Times New Roman" w:hAnsi="Times New Roman" w:cs="Times New Roman"/>
                <w:sz w:val="20"/>
                <w:szCs w:val="20"/>
              </w:rPr>
              <w:t>0.221</w:t>
            </w:r>
          </w:p>
        </w:tc>
      </w:tr>
      <w:tr w:rsidR="00226BC6" w:rsidRPr="00B35A85" w14:paraId="5FAE6324" w14:textId="77777777" w:rsidTr="00226BC6">
        <w:trPr>
          <w:trHeight w:val="252"/>
        </w:trPr>
        <w:tc>
          <w:tcPr>
            <w:tcW w:w="1075" w:type="dxa"/>
            <w:noWrap/>
            <w:hideMark/>
          </w:tcPr>
          <w:p w14:paraId="3C3F54DF" w14:textId="77777777" w:rsidR="00226BC6" w:rsidRPr="00B35A85" w:rsidRDefault="00226BC6" w:rsidP="00226BC6">
            <w:pPr>
              <w:jc w:val="right"/>
              <w:rPr>
                <w:rFonts w:ascii="Times New Roman" w:eastAsia="Times New Roman" w:hAnsi="Times New Roman" w:cs="Times New Roman"/>
                <w:b/>
                <w:sz w:val="20"/>
                <w:szCs w:val="20"/>
              </w:rPr>
            </w:pPr>
          </w:p>
        </w:tc>
        <w:tc>
          <w:tcPr>
            <w:tcW w:w="2250" w:type="dxa"/>
            <w:noWrap/>
            <w:hideMark/>
          </w:tcPr>
          <w:p w14:paraId="64A7B36B" w14:textId="77777777" w:rsidR="00226BC6" w:rsidRPr="00B35A85" w:rsidRDefault="00226BC6" w:rsidP="00226BC6">
            <w:pPr>
              <w:jc w:val="right"/>
              <w:rPr>
                <w:rFonts w:ascii="Times New Roman" w:eastAsia="Times New Roman" w:hAnsi="Times New Roman" w:cs="Times New Roman"/>
                <w:sz w:val="20"/>
                <w:szCs w:val="20"/>
              </w:rPr>
            </w:pPr>
            <w:r w:rsidRPr="00B35A85">
              <w:rPr>
                <w:rFonts w:ascii="Times New Roman" w:eastAsia="Times New Roman" w:hAnsi="Times New Roman" w:cs="Times New Roman"/>
                <w:sz w:val="20"/>
                <w:szCs w:val="20"/>
              </w:rPr>
              <w:t>Calculus III</w:t>
            </w:r>
          </w:p>
        </w:tc>
        <w:tc>
          <w:tcPr>
            <w:tcW w:w="1170" w:type="dxa"/>
            <w:noWrap/>
            <w:hideMark/>
          </w:tcPr>
          <w:p w14:paraId="109B09DC" w14:textId="77777777" w:rsidR="00226BC6" w:rsidRPr="00B35A85" w:rsidRDefault="00226BC6" w:rsidP="00226BC6">
            <w:pPr>
              <w:jc w:val="center"/>
              <w:rPr>
                <w:rFonts w:ascii="Times New Roman" w:eastAsia="Times New Roman" w:hAnsi="Times New Roman" w:cs="Times New Roman"/>
                <w:sz w:val="20"/>
                <w:szCs w:val="20"/>
              </w:rPr>
            </w:pPr>
            <w:r w:rsidRPr="00B35A85">
              <w:rPr>
                <w:rFonts w:ascii="Times New Roman" w:eastAsia="Times New Roman" w:hAnsi="Times New Roman" w:cs="Times New Roman"/>
                <w:sz w:val="20"/>
                <w:szCs w:val="20"/>
              </w:rPr>
              <w:t>0.008</w:t>
            </w:r>
          </w:p>
        </w:tc>
        <w:tc>
          <w:tcPr>
            <w:tcW w:w="1260" w:type="dxa"/>
            <w:noWrap/>
            <w:hideMark/>
          </w:tcPr>
          <w:p w14:paraId="26D5E54F" w14:textId="77777777" w:rsidR="00226BC6" w:rsidRPr="00B35A85" w:rsidRDefault="00226BC6" w:rsidP="00226BC6">
            <w:pPr>
              <w:jc w:val="center"/>
              <w:rPr>
                <w:rFonts w:ascii="Times New Roman" w:eastAsia="Times New Roman" w:hAnsi="Times New Roman" w:cs="Times New Roman"/>
                <w:sz w:val="20"/>
                <w:szCs w:val="20"/>
              </w:rPr>
            </w:pPr>
            <w:r w:rsidRPr="00B35A85">
              <w:rPr>
                <w:rFonts w:ascii="Times New Roman" w:eastAsia="Times New Roman" w:hAnsi="Times New Roman" w:cs="Times New Roman"/>
                <w:sz w:val="20"/>
                <w:szCs w:val="20"/>
              </w:rPr>
              <w:t>0.672</w:t>
            </w:r>
          </w:p>
        </w:tc>
        <w:tc>
          <w:tcPr>
            <w:tcW w:w="1350" w:type="dxa"/>
            <w:noWrap/>
            <w:hideMark/>
          </w:tcPr>
          <w:p w14:paraId="76CADDDD" w14:textId="77777777" w:rsidR="00226BC6" w:rsidRPr="00B35A85" w:rsidRDefault="00226BC6" w:rsidP="00226BC6">
            <w:pPr>
              <w:jc w:val="center"/>
              <w:rPr>
                <w:rFonts w:ascii="Times New Roman" w:eastAsia="Times New Roman" w:hAnsi="Times New Roman" w:cs="Times New Roman"/>
                <w:sz w:val="20"/>
                <w:szCs w:val="20"/>
              </w:rPr>
            </w:pPr>
            <w:r w:rsidRPr="00B35A85">
              <w:rPr>
                <w:rFonts w:ascii="Times New Roman" w:eastAsia="Times New Roman" w:hAnsi="Times New Roman" w:cs="Times New Roman"/>
                <w:sz w:val="20"/>
                <w:szCs w:val="20"/>
              </w:rPr>
              <w:t>0.600</w:t>
            </w:r>
          </w:p>
        </w:tc>
      </w:tr>
      <w:tr w:rsidR="00226BC6" w:rsidRPr="00B35A85" w14:paraId="7D946D66" w14:textId="77777777" w:rsidTr="00226BC6">
        <w:trPr>
          <w:trHeight w:val="252"/>
        </w:trPr>
        <w:tc>
          <w:tcPr>
            <w:tcW w:w="1075" w:type="dxa"/>
            <w:noWrap/>
            <w:hideMark/>
          </w:tcPr>
          <w:p w14:paraId="401E3FA8" w14:textId="77777777" w:rsidR="00226BC6" w:rsidRPr="00B35A85" w:rsidRDefault="00226BC6" w:rsidP="00226BC6">
            <w:pPr>
              <w:rPr>
                <w:rFonts w:ascii="Times New Roman" w:eastAsia="Times New Roman" w:hAnsi="Times New Roman" w:cs="Times New Roman"/>
                <w:b/>
                <w:sz w:val="20"/>
                <w:szCs w:val="20"/>
              </w:rPr>
            </w:pPr>
            <w:r w:rsidRPr="00B35A85">
              <w:rPr>
                <w:rFonts w:ascii="Times New Roman" w:eastAsia="Times New Roman" w:hAnsi="Times New Roman" w:cs="Times New Roman"/>
                <w:b/>
                <w:sz w:val="20"/>
                <w:szCs w:val="20"/>
              </w:rPr>
              <w:t>Physics</w:t>
            </w:r>
          </w:p>
        </w:tc>
        <w:tc>
          <w:tcPr>
            <w:tcW w:w="2250" w:type="dxa"/>
            <w:noWrap/>
            <w:hideMark/>
          </w:tcPr>
          <w:p w14:paraId="637CF93B" w14:textId="77777777" w:rsidR="00226BC6" w:rsidRPr="00B35A85" w:rsidRDefault="00226BC6" w:rsidP="00226BC6">
            <w:pPr>
              <w:jc w:val="right"/>
              <w:rPr>
                <w:rFonts w:ascii="Times New Roman" w:eastAsia="Times New Roman" w:hAnsi="Times New Roman" w:cs="Times New Roman"/>
                <w:sz w:val="20"/>
                <w:szCs w:val="20"/>
              </w:rPr>
            </w:pPr>
            <w:r w:rsidRPr="00B35A85">
              <w:rPr>
                <w:rFonts w:ascii="Times New Roman" w:eastAsia="Times New Roman" w:hAnsi="Times New Roman" w:cs="Times New Roman"/>
                <w:sz w:val="20"/>
                <w:szCs w:val="20"/>
              </w:rPr>
              <w:t>Intro Physics</w:t>
            </w:r>
          </w:p>
        </w:tc>
        <w:tc>
          <w:tcPr>
            <w:tcW w:w="1170" w:type="dxa"/>
            <w:noWrap/>
            <w:hideMark/>
          </w:tcPr>
          <w:p w14:paraId="4C72272C" w14:textId="77777777" w:rsidR="00226BC6" w:rsidRPr="00B35A85" w:rsidRDefault="00226BC6" w:rsidP="00226BC6">
            <w:pPr>
              <w:jc w:val="center"/>
              <w:rPr>
                <w:rFonts w:ascii="Times New Roman" w:eastAsia="Times New Roman" w:hAnsi="Times New Roman" w:cs="Times New Roman"/>
                <w:sz w:val="20"/>
                <w:szCs w:val="20"/>
              </w:rPr>
            </w:pPr>
            <w:r w:rsidRPr="00B35A85">
              <w:rPr>
                <w:rFonts w:ascii="Times New Roman" w:eastAsia="Times New Roman" w:hAnsi="Times New Roman" w:cs="Times New Roman"/>
                <w:sz w:val="20"/>
                <w:szCs w:val="20"/>
              </w:rPr>
              <w:t>0.157</w:t>
            </w:r>
          </w:p>
        </w:tc>
        <w:tc>
          <w:tcPr>
            <w:tcW w:w="1260" w:type="dxa"/>
            <w:noWrap/>
            <w:hideMark/>
          </w:tcPr>
          <w:p w14:paraId="52559B8C" w14:textId="77777777" w:rsidR="00226BC6" w:rsidRPr="00B35A85" w:rsidRDefault="00226BC6" w:rsidP="00226BC6">
            <w:pPr>
              <w:jc w:val="center"/>
              <w:rPr>
                <w:rFonts w:ascii="Times New Roman" w:eastAsia="Times New Roman" w:hAnsi="Times New Roman" w:cs="Times New Roman"/>
                <w:sz w:val="20"/>
                <w:szCs w:val="20"/>
              </w:rPr>
            </w:pPr>
            <w:r w:rsidRPr="00B35A85">
              <w:rPr>
                <w:rFonts w:ascii="Times New Roman" w:eastAsia="Times New Roman" w:hAnsi="Times New Roman" w:cs="Times New Roman"/>
                <w:sz w:val="20"/>
                <w:szCs w:val="20"/>
              </w:rPr>
              <w:t>0.167</w:t>
            </w:r>
          </w:p>
        </w:tc>
        <w:tc>
          <w:tcPr>
            <w:tcW w:w="1350" w:type="dxa"/>
            <w:noWrap/>
            <w:hideMark/>
          </w:tcPr>
          <w:p w14:paraId="393D3E86" w14:textId="77777777" w:rsidR="00226BC6" w:rsidRPr="00B35A85" w:rsidRDefault="00226BC6" w:rsidP="00226BC6">
            <w:pPr>
              <w:jc w:val="center"/>
              <w:rPr>
                <w:rFonts w:ascii="Times New Roman" w:eastAsia="Times New Roman" w:hAnsi="Times New Roman" w:cs="Times New Roman"/>
                <w:sz w:val="20"/>
                <w:szCs w:val="20"/>
              </w:rPr>
            </w:pPr>
            <w:r w:rsidRPr="00B35A85">
              <w:rPr>
                <w:rFonts w:ascii="Times New Roman" w:eastAsia="Times New Roman" w:hAnsi="Times New Roman" w:cs="Times New Roman"/>
                <w:sz w:val="20"/>
                <w:szCs w:val="20"/>
              </w:rPr>
              <w:t>0.005</w:t>
            </w:r>
          </w:p>
        </w:tc>
      </w:tr>
      <w:tr w:rsidR="00226BC6" w:rsidRPr="00B35A85" w14:paraId="6D0501ED" w14:textId="77777777" w:rsidTr="00226BC6">
        <w:trPr>
          <w:trHeight w:val="252"/>
        </w:trPr>
        <w:tc>
          <w:tcPr>
            <w:tcW w:w="1075" w:type="dxa"/>
            <w:noWrap/>
            <w:hideMark/>
          </w:tcPr>
          <w:p w14:paraId="4235D046" w14:textId="77777777" w:rsidR="00226BC6" w:rsidRPr="00B35A85" w:rsidRDefault="00226BC6" w:rsidP="00226BC6">
            <w:pPr>
              <w:jc w:val="right"/>
              <w:rPr>
                <w:rFonts w:ascii="Times New Roman" w:eastAsia="Times New Roman" w:hAnsi="Times New Roman" w:cs="Times New Roman"/>
                <w:b/>
                <w:sz w:val="20"/>
                <w:szCs w:val="20"/>
              </w:rPr>
            </w:pPr>
          </w:p>
        </w:tc>
        <w:tc>
          <w:tcPr>
            <w:tcW w:w="2250" w:type="dxa"/>
            <w:noWrap/>
            <w:hideMark/>
          </w:tcPr>
          <w:p w14:paraId="2583EEC3" w14:textId="77777777" w:rsidR="00226BC6" w:rsidRPr="00B35A85" w:rsidRDefault="00226BC6" w:rsidP="00226BC6">
            <w:pPr>
              <w:jc w:val="right"/>
              <w:rPr>
                <w:rFonts w:ascii="Times New Roman" w:eastAsia="Times New Roman" w:hAnsi="Times New Roman" w:cs="Times New Roman"/>
                <w:sz w:val="20"/>
                <w:szCs w:val="20"/>
              </w:rPr>
            </w:pPr>
            <w:r w:rsidRPr="00B35A85">
              <w:rPr>
                <w:rFonts w:ascii="Times New Roman" w:eastAsia="Times New Roman" w:hAnsi="Times New Roman" w:cs="Times New Roman"/>
                <w:sz w:val="20"/>
                <w:szCs w:val="20"/>
              </w:rPr>
              <w:t>Physics for S &amp; E I</w:t>
            </w:r>
          </w:p>
        </w:tc>
        <w:tc>
          <w:tcPr>
            <w:tcW w:w="1170" w:type="dxa"/>
            <w:noWrap/>
            <w:hideMark/>
          </w:tcPr>
          <w:p w14:paraId="516B86CE" w14:textId="77777777" w:rsidR="00226BC6" w:rsidRPr="00B35A85" w:rsidRDefault="00226BC6" w:rsidP="00226BC6">
            <w:pPr>
              <w:jc w:val="center"/>
              <w:rPr>
                <w:rFonts w:ascii="Times New Roman" w:eastAsia="Times New Roman" w:hAnsi="Times New Roman" w:cs="Times New Roman"/>
                <w:sz w:val="20"/>
                <w:szCs w:val="20"/>
              </w:rPr>
            </w:pPr>
            <w:r w:rsidRPr="00B35A85">
              <w:rPr>
                <w:rFonts w:ascii="Times New Roman" w:eastAsia="Times New Roman" w:hAnsi="Times New Roman" w:cs="Times New Roman"/>
                <w:sz w:val="20"/>
                <w:szCs w:val="20"/>
              </w:rPr>
              <w:t>0.743</w:t>
            </w:r>
          </w:p>
        </w:tc>
        <w:tc>
          <w:tcPr>
            <w:tcW w:w="1260" w:type="dxa"/>
            <w:noWrap/>
            <w:hideMark/>
          </w:tcPr>
          <w:p w14:paraId="251F701E" w14:textId="77777777" w:rsidR="00226BC6" w:rsidRPr="00B35A85" w:rsidRDefault="00226BC6" w:rsidP="00226BC6">
            <w:pPr>
              <w:jc w:val="center"/>
              <w:rPr>
                <w:rFonts w:ascii="Times New Roman" w:eastAsia="Times New Roman" w:hAnsi="Times New Roman" w:cs="Times New Roman"/>
                <w:sz w:val="20"/>
                <w:szCs w:val="20"/>
              </w:rPr>
            </w:pPr>
            <w:r w:rsidRPr="00B35A85">
              <w:rPr>
                <w:rFonts w:ascii="Times New Roman" w:eastAsia="Times New Roman" w:hAnsi="Times New Roman" w:cs="Times New Roman"/>
                <w:sz w:val="20"/>
                <w:szCs w:val="20"/>
              </w:rPr>
              <w:t>1.000</w:t>
            </w:r>
          </w:p>
        </w:tc>
        <w:tc>
          <w:tcPr>
            <w:tcW w:w="1350" w:type="dxa"/>
            <w:noWrap/>
            <w:hideMark/>
          </w:tcPr>
          <w:p w14:paraId="421CFC3A" w14:textId="77777777" w:rsidR="00226BC6" w:rsidRPr="00B35A85" w:rsidRDefault="00226BC6" w:rsidP="00226BC6">
            <w:pPr>
              <w:jc w:val="center"/>
              <w:rPr>
                <w:rFonts w:ascii="Times New Roman" w:eastAsia="Times New Roman" w:hAnsi="Times New Roman" w:cs="Times New Roman"/>
                <w:sz w:val="20"/>
                <w:szCs w:val="20"/>
              </w:rPr>
            </w:pPr>
            <w:r w:rsidRPr="00B35A85">
              <w:rPr>
                <w:rFonts w:ascii="Times New Roman" w:eastAsia="Times New Roman" w:hAnsi="Times New Roman" w:cs="Times New Roman"/>
                <w:sz w:val="20"/>
                <w:szCs w:val="20"/>
              </w:rPr>
              <w:t>0.376</w:t>
            </w:r>
          </w:p>
        </w:tc>
      </w:tr>
      <w:tr w:rsidR="00226BC6" w:rsidRPr="00B35A85" w14:paraId="78D868C4" w14:textId="77777777" w:rsidTr="00226BC6">
        <w:trPr>
          <w:trHeight w:val="252"/>
        </w:trPr>
        <w:tc>
          <w:tcPr>
            <w:tcW w:w="1075" w:type="dxa"/>
            <w:noWrap/>
            <w:hideMark/>
          </w:tcPr>
          <w:p w14:paraId="7427DE86" w14:textId="77777777" w:rsidR="00226BC6" w:rsidRPr="00B35A85" w:rsidRDefault="00226BC6" w:rsidP="00226BC6">
            <w:pPr>
              <w:jc w:val="right"/>
              <w:rPr>
                <w:rFonts w:ascii="Times New Roman" w:eastAsia="Times New Roman" w:hAnsi="Times New Roman" w:cs="Times New Roman"/>
                <w:sz w:val="20"/>
                <w:szCs w:val="20"/>
              </w:rPr>
            </w:pPr>
          </w:p>
        </w:tc>
        <w:tc>
          <w:tcPr>
            <w:tcW w:w="2250" w:type="dxa"/>
            <w:noWrap/>
            <w:hideMark/>
          </w:tcPr>
          <w:p w14:paraId="3890BD95" w14:textId="77777777" w:rsidR="00226BC6" w:rsidRPr="00B35A85" w:rsidRDefault="00226BC6" w:rsidP="00226BC6">
            <w:pPr>
              <w:jc w:val="right"/>
              <w:rPr>
                <w:rFonts w:ascii="Times New Roman" w:eastAsia="Times New Roman" w:hAnsi="Times New Roman" w:cs="Times New Roman"/>
                <w:sz w:val="20"/>
                <w:szCs w:val="20"/>
              </w:rPr>
            </w:pPr>
            <w:r w:rsidRPr="00B35A85">
              <w:rPr>
                <w:rFonts w:ascii="Times New Roman" w:eastAsia="Times New Roman" w:hAnsi="Times New Roman" w:cs="Times New Roman"/>
                <w:sz w:val="20"/>
                <w:szCs w:val="20"/>
              </w:rPr>
              <w:t>Physics for S &amp; E II</w:t>
            </w:r>
          </w:p>
        </w:tc>
        <w:tc>
          <w:tcPr>
            <w:tcW w:w="1170" w:type="dxa"/>
            <w:noWrap/>
            <w:hideMark/>
          </w:tcPr>
          <w:p w14:paraId="23C5BD32" w14:textId="77777777" w:rsidR="00226BC6" w:rsidRPr="00B35A85" w:rsidRDefault="00226BC6" w:rsidP="00226BC6">
            <w:pPr>
              <w:jc w:val="center"/>
              <w:rPr>
                <w:rFonts w:ascii="Times New Roman" w:eastAsia="Times New Roman" w:hAnsi="Times New Roman" w:cs="Times New Roman"/>
                <w:sz w:val="20"/>
                <w:szCs w:val="20"/>
              </w:rPr>
            </w:pPr>
            <w:r w:rsidRPr="00B35A85">
              <w:rPr>
                <w:rFonts w:ascii="Times New Roman" w:eastAsia="Times New Roman" w:hAnsi="Times New Roman" w:cs="Times New Roman"/>
                <w:sz w:val="20"/>
                <w:szCs w:val="20"/>
              </w:rPr>
              <w:t>0.013</w:t>
            </w:r>
          </w:p>
        </w:tc>
        <w:tc>
          <w:tcPr>
            <w:tcW w:w="1260" w:type="dxa"/>
            <w:noWrap/>
            <w:hideMark/>
          </w:tcPr>
          <w:p w14:paraId="73F7E640" w14:textId="77777777" w:rsidR="00226BC6" w:rsidRPr="00B35A85" w:rsidRDefault="00226BC6" w:rsidP="00226BC6">
            <w:pPr>
              <w:jc w:val="center"/>
              <w:rPr>
                <w:rFonts w:ascii="Times New Roman" w:eastAsia="Times New Roman" w:hAnsi="Times New Roman" w:cs="Times New Roman"/>
                <w:sz w:val="20"/>
                <w:szCs w:val="20"/>
              </w:rPr>
            </w:pPr>
            <w:r w:rsidRPr="00B35A85">
              <w:rPr>
                <w:rFonts w:ascii="Times New Roman" w:eastAsia="Times New Roman" w:hAnsi="Times New Roman" w:cs="Times New Roman"/>
                <w:sz w:val="20"/>
                <w:szCs w:val="20"/>
              </w:rPr>
              <w:t>0.548</w:t>
            </w:r>
          </w:p>
        </w:tc>
        <w:tc>
          <w:tcPr>
            <w:tcW w:w="1350" w:type="dxa"/>
            <w:noWrap/>
            <w:hideMark/>
          </w:tcPr>
          <w:p w14:paraId="08492335" w14:textId="77777777" w:rsidR="00226BC6" w:rsidRPr="00B35A85" w:rsidRDefault="00226BC6" w:rsidP="00226BC6">
            <w:pPr>
              <w:jc w:val="center"/>
              <w:rPr>
                <w:rFonts w:ascii="Times New Roman" w:eastAsia="Times New Roman" w:hAnsi="Times New Roman" w:cs="Times New Roman"/>
                <w:sz w:val="20"/>
                <w:szCs w:val="20"/>
              </w:rPr>
            </w:pPr>
            <w:r w:rsidRPr="00B35A85">
              <w:rPr>
                <w:rFonts w:ascii="Times New Roman" w:eastAsia="Times New Roman" w:hAnsi="Times New Roman" w:cs="Times New Roman"/>
                <w:sz w:val="20"/>
                <w:szCs w:val="20"/>
              </w:rPr>
              <w:t>0.293</w:t>
            </w:r>
          </w:p>
        </w:tc>
      </w:tr>
      <w:tr w:rsidR="00226BC6" w:rsidRPr="00B35A85" w14:paraId="744A5C29" w14:textId="77777777" w:rsidTr="00226BC6">
        <w:trPr>
          <w:trHeight w:val="252"/>
        </w:trPr>
        <w:tc>
          <w:tcPr>
            <w:tcW w:w="1075" w:type="dxa"/>
            <w:tcBorders>
              <w:bottom w:val="single" w:sz="4" w:space="0" w:color="auto"/>
            </w:tcBorders>
            <w:noWrap/>
            <w:hideMark/>
          </w:tcPr>
          <w:p w14:paraId="2138101B" w14:textId="77777777" w:rsidR="00226BC6" w:rsidRPr="00B35A85" w:rsidRDefault="00226BC6" w:rsidP="00226BC6">
            <w:pPr>
              <w:jc w:val="right"/>
              <w:rPr>
                <w:rFonts w:ascii="Times New Roman" w:eastAsia="Times New Roman" w:hAnsi="Times New Roman" w:cs="Times New Roman"/>
                <w:sz w:val="20"/>
                <w:szCs w:val="20"/>
              </w:rPr>
            </w:pPr>
          </w:p>
        </w:tc>
        <w:tc>
          <w:tcPr>
            <w:tcW w:w="2250" w:type="dxa"/>
            <w:tcBorders>
              <w:bottom w:val="single" w:sz="4" w:space="0" w:color="auto"/>
            </w:tcBorders>
            <w:noWrap/>
            <w:hideMark/>
          </w:tcPr>
          <w:p w14:paraId="7ECE9AAC" w14:textId="77777777" w:rsidR="00226BC6" w:rsidRPr="00B35A85" w:rsidRDefault="00226BC6" w:rsidP="00226BC6">
            <w:pPr>
              <w:jc w:val="right"/>
              <w:rPr>
                <w:rFonts w:ascii="Times New Roman" w:eastAsia="Times New Roman" w:hAnsi="Times New Roman" w:cs="Times New Roman"/>
                <w:sz w:val="20"/>
                <w:szCs w:val="20"/>
              </w:rPr>
            </w:pPr>
            <w:r w:rsidRPr="00B35A85">
              <w:rPr>
                <w:rFonts w:ascii="Times New Roman" w:eastAsia="Times New Roman" w:hAnsi="Times New Roman" w:cs="Times New Roman"/>
                <w:sz w:val="20"/>
                <w:szCs w:val="20"/>
              </w:rPr>
              <w:t>Physics for S &amp; E III</w:t>
            </w:r>
          </w:p>
        </w:tc>
        <w:tc>
          <w:tcPr>
            <w:tcW w:w="1170" w:type="dxa"/>
            <w:tcBorders>
              <w:bottom w:val="single" w:sz="4" w:space="0" w:color="auto"/>
            </w:tcBorders>
            <w:noWrap/>
            <w:hideMark/>
          </w:tcPr>
          <w:p w14:paraId="5710A188" w14:textId="77777777" w:rsidR="00226BC6" w:rsidRPr="00B35A85" w:rsidRDefault="00226BC6" w:rsidP="00226BC6">
            <w:pPr>
              <w:jc w:val="center"/>
              <w:rPr>
                <w:rFonts w:ascii="Times New Roman" w:eastAsia="Times New Roman" w:hAnsi="Times New Roman" w:cs="Times New Roman"/>
                <w:sz w:val="20"/>
                <w:szCs w:val="20"/>
              </w:rPr>
            </w:pPr>
            <w:r w:rsidRPr="00B35A85">
              <w:rPr>
                <w:rFonts w:ascii="Times New Roman" w:eastAsia="Times New Roman" w:hAnsi="Times New Roman" w:cs="Times New Roman"/>
                <w:sz w:val="20"/>
                <w:szCs w:val="20"/>
              </w:rPr>
              <w:t>0.006</w:t>
            </w:r>
          </w:p>
        </w:tc>
        <w:tc>
          <w:tcPr>
            <w:tcW w:w="1260" w:type="dxa"/>
            <w:tcBorders>
              <w:bottom w:val="single" w:sz="4" w:space="0" w:color="auto"/>
            </w:tcBorders>
            <w:noWrap/>
            <w:hideMark/>
          </w:tcPr>
          <w:p w14:paraId="3411D1B9" w14:textId="77777777" w:rsidR="00226BC6" w:rsidRPr="00B35A85" w:rsidRDefault="00226BC6" w:rsidP="00226BC6">
            <w:pPr>
              <w:jc w:val="center"/>
              <w:rPr>
                <w:rFonts w:ascii="Times New Roman" w:eastAsia="Times New Roman" w:hAnsi="Times New Roman" w:cs="Times New Roman"/>
                <w:sz w:val="20"/>
                <w:szCs w:val="20"/>
              </w:rPr>
            </w:pPr>
            <w:r w:rsidRPr="00B35A85">
              <w:rPr>
                <w:rFonts w:ascii="Times New Roman" w:eastAsia="Times New Roman" w:hAnsi="Times New Roman" w:cs="Times New Roman"/>
                <w:sz w:val="20"/>
                <w:szCs w:val="20"/>
              </w:rPr>
              <w:t>0.363</w:t>
            </w:r>
          </w:p>
        </w:tc>
        <w:tc>
          <w:tcPr>
            <w:tcW w:w="1350" w:type="dxa"/>
            <w:tcBorders>
              <w:bottom w:val="single" w:sz="4" w:space="0" w:color="auto"/>
            </w:tcBorders>
            <w:noWrap/>
            <w:hideMark/>
          </w:tcPr>
          <w:p w14:paraId="2AA76E97" w14:textId="77777777" w:rsidR="00226BC6" w:rsidRPr="00B35A85" w:rsidRDefault="00226BC6" w:rsidP="00226BC6">
            <w:pPr>
              <w:jc w:val="center"/>
              <w:rPr>
                <w:rFonts w:ascii="Times New Roman" w:eastAsia="Times New Roman" w:hAnsi="Times New Roman" w:cs="Times New Roman"/>
                <w:sz w:val="20"/>
                <w:szCs w:val="20"/>
              </w:rPr>
            </w:pPr>
            <w:r w:rsidRPr="00B35A85">
              <w:rPr>
                <w:rFonts w:ascii="Times New Roman" w:eastAsia="Times New Roman" w:hAnsi="Times New Roman" w:cs="Times New Roman"/>
                <w:sz w:val="20"/>
                <w:szCs w:val="20"/>
              </w:rPr>
              <w:t>0.301</w:t>
            </w:r>
          </w:p>
        </w:tc>
      </w:tr>
    </w:tbl>
    <w:p w14:paraId="63BE91C5" w14:textId="77777777" w:rsidR="00226BC6" w:rsidRDefault="00226BC6" w:rsidP="00226BC6">
      <w:pPr>
        <w:rPr>
          <w:rFonts w:ascii="Times New Roman" w:hAnsi="Times New Roman" w:cs="Times New Roman"/>
          <w:sz w:val="24"/>
        </w:rPr>
      </w:pPr>
    </w:p>
    <w:p w14:paraId="20EB1C98" w14:textId="77777777" w:rsidR="00226BC6" w:rsidRDefault="00226BC6" w:rsidP="00226BC6">
      <w:pPr>
        <w:rPr>
          <w:rFonts w:ascii="Times New Roman" w:hAnsi="Times New Roman" w:cs="Times New Roman"/>
          <w:sz w:val="24"/>
        </w:rPr>
      </w:pPr>
    </w:p>
    <w:p w14:paraId="76B4A784" w14:textId="77777777" w:rsidR="00226BC6" w:rsidRDefault="00226BC6" w:rsidP="00226BC6">
      <w:pPr>
        <w:rPr>
          <w:rFonts w:ascii="Times New Roman" w:hAnsi="Times New Roman" w:cs="Times New Roman"/>
          <w:sz w:val="24"/>
        </w:rPr>
      </w:pPr>
    </w:p>
    <w:p w14:paraId="0B8B6AEB" w14:textId="77777777" w:rsidR="00226BC6" w:rsidRDefault="00226BC6" w:rsidP="00226BC6">
      <w:pPr>
        <w:rPr>
          <w:rFonts w:ascii="Times New Roman" w:hAnsi="Times New Roman" w:cs="Times New Roman"/>
          <w:sz w:val="24"/>
        </w:rPr>
      </w:pPr>
    </w:p>
    <w:p w14:paraId="7E916580" w14:textId="77777777" w:rsidR="00226BC6" w:rsidRDefault="00226BC6" w:rsidP="00226BC6">
      <w:pPr>
        <w:rPr>
          <w:rFonts w:ascii="Times New Roman" w:hAnsi="Times New Roman" w:cs="Times New Roman"/>
          <w:sz w:val="24"/>
        </w:rPr>
      </w:pPr>
    </w:p>
    <w:p w14:paraId="2AEFDF2E" w14:textId="77777777" w:rsidR="00226BC6" w:rsidRDefault="00226BC6" w:rsidP="00226BC6">
      <w:pPr>
        <w:rPr>
          <w:rFonts w:ascii="Times New Roman" w:hAnsi="Times New Roman" w:cs="Times New Roman"/>
          <w:sz w:val="24"/>
        </w:rPr>
      </w:pPr>
    </w:p>
    <w:p w14:paraId="4F51AEF8" w14:textId="77777777" w:rsidR="00226BC6" w:rsidRDefault="00226BC6" w:rsidP="00226BC6">
      <w:pPr>
        <w:rPr>
          <w:rFonts w:ascii="Times New Roman" w:hAnsi="Times New Roman" w:cs="Times New Roman"/>
          <w:sz w:val="24"/>
        </w:rPr>
      </w:pPr>
    </w:p>
    <w:p w14:paraId="0BB22FF9" w14:textId="77777777" w:rsidR="00226BC6" w:rsidRDefault="00226BC6" w:rsidP="00226BC6">
      <w:pPr>
        <w:rPr>
          <w:rFonts w:ascii="Times New Roman" w:hAnsi="Times New Roman" w:cs="Times New Roman"/>
          <w:sz w:val="24"/>
        </w:rPr>
      </w:pPr>
    </w:p>
    <w:p w14:paraId="4DE708B2" w14:textId="77777777" w:rsidR="00226BC6" w:rsidRDefault="00226BC6" w:rsidP="00226BC6">
      <w:pPr>
        <w:rPr>
          <w:rFonts w:ascii="Times New Roman" w:hAnsi="Times New Roman" w:cs="Times New Roman"/>
          <w:sz w:val="24"/>
        </w:rPr>
      </w:pPr>
    </w:p>
    <w:p w14:paraId="33457912" w14:textId="77777777" w:rsidR="00226BC6" w:rsidRDefault="00226BC6" w:rsidP="00226BC6">
      <w:pPr>
        <w:rPr>
          <w:rFonts w:ascii="Times New Roman" w:hAnsi="Times New Roman" w:cs="Times New Roman"/>
          <w:sz w:val="24"/>
        </w:rPr>
      </w:pPr>
    </w:p>
    <w:p w14:paraId="0B426A4E" w14:textId="77777777" w:rsidR="00226BC6" w:rsidRDefault="00226BC6" w:rsidP="00226BC6">
      <w:pPr>
        <w:rPr>
          <w:rFonts w:ascii="Times New Roman" w:hAnsi="Times New Roman" w:cs="Times New Roman"/>
          <w:sz w:val="24"/>
        </w:rPr>
      </w:pPr>
    </w:p>
    <w:p w14:paraId="0DF4DFBF" w14:textId="77777777" w:rsidR="00226BC6" w:rsidRDefault="00226BC6" w:rsidP="00226BC6">
      <w:pPr>
        <w:rPr>
          <w:rFonts w:ascii="Times New Roman" w:hAnsi="Times New Roman" w:cs="Times New Roman"/>
          <w:sz w:val="24"/>
        </w:rPr>
      </w:pPr>
    </w:p>
    <w:p w14:paraId="063858B7" w14:textId="77777777" w:rsidR="00226BC6" w:rsidRDefault="00226BC6" w:rsidP="00226BC6">
      <w:pPr>
        <w:rPr>
          <w:rFonts w:ascii="Times New Roman" w:hAnsi="Times New Roman" w:cs="Times New Roman"/>
          <w:sz w:val="24"/>
        </w:rPr>
      </w:pPr>
    </w:p>
    <w:p w14:paraId="3AB00C0B" w14:textId="77777777" w:rsidR="001332D4" w:rsidRDefault="001332D4">
      <w:pPr>
        <w:rPr>
          <w:rFonts w:ascii="Times New Roman" w:hAnsi="Times New Roman" w:cs="Times New Roman"/>
          <w:sz w:val="24"/>
        </w:rPr>
      </w:pPr>
      <w:r>
        <w:rPr>
          <w:rFonts w:ascii="Times New Roman" w:hAnsi="Times New Roman" w:cs="Times New Roman"/>
          <w:sz w:val="24"/>
        </w:rPr>
        <w:br w:type="page"/>
      </w:r>
    </w:p>
    <w:p w14:paraId="0ECAD83E" w14:textId="77777777" w:rsidR="00226BC6" w:rsidRDefault="00EC6871" w:rsidP="00226BC6">
      <w:pPr>
        <w:rPr>
          <w:rFonts w:ascii="Times New Roman" w:hAnsi="Times New Roman" w:cs="Times New Roman"/>
          <w:sz w:val="24"/>
        </w:rPr>
      </w:pPr>
      <w:r>
        <w:rPr>
          <w:rFonts w:ascii="Times New Roman" w:hAnsi="Times New Roman" w:cs="Times New Roman"/>
          <w:sz w:val="24"/>
        </w:rPr>
        <w:lastRenderedPageBreak/>
        <w:t>T</w:t>
      </w:r>
      <w:r w:rsidR="00226BC6">
        <w:rPr>
          <w:rFonts w:ascii="Times New Roman" w:hAnsi="Times New Roman" w:cs="Times New Roman"/>
          <w:sz w:val="24"/>
        </w:rPr>
        <w:t>ABLE 3</w:t>
      </w:r>
      <w:r w:rsidR="00226BC6" w:rsidRPr="00B35A85">
        <w:rPr>
          <w:rFonts w:ascii="Times New Roman" w:hAnsi="Times New Roman" w:cs="Times New Roman"/>
          <w:sz w:val="24"/>
        </w:rPr>
        <w:t>: Course-t</w:t>
      </w:r>
      <w:r w:rsidR="007D794A">
        <w:rPr>
          <w:rFonts w:ascii="Times New Roman" w:hAnsi="Times New Roman" w:cs="Times New Roman"/>
          <w:sz w:val="24"/>
        </w:rPr>
        <w:t>aking of students who enroll in</w:t>
      </w:r>
      <w:r w:rsidR="00226BC6" w:rsidRPr="00B35A85">
        <w:rPr>
          <w:rFonts w:ascii="Times New Roman" w:hAnsi="Times New Roman" w:cs="Times New Roman"/>
          <w:sz w:val="24"/>
        </w:rPr>
        <w:t xml:space="preserve"> the </w:t>
      </w:r>
      <w:r w:rsidR="00226BC6">
        <w:rPr>
          <w:rFonts w:ascii="Times New Roman" w:hAnsi="Times New Roman" w:cs="Times New Roman"/>
          <w:sz w:val="24"/>
        </w:rPr>
        <w:t>Biology I</w:t>
      </w:r>
      <w:r w:rsidR="00226BC6" w:rsidRPr="00B35A85">
        <w:rPr>
          <w:rFonts w:ascii="Times New Roman" w:hAnsi="Times New Roman" w:cs="Times New Roman"/>
          <w:sz w:val="24"/>
        </w:rPr>
        <w:t xml:space="preserve"> and </w:t>
      </w:r>
      <w:r w:rsidR="00226BC6">
        <w:rPr>
          <w:rFonts w:ascii="Times New Roman" w:hAnsi="Times New Roman" w:cs="Times New Roman"/>
          <w:sz w:val="24"/>
        </w:rPr>
        <w:t>General Chemistry I</w:t>
      </w:r>
      <w:r w:rsidR="00226BC6" w:rsidRPr="00B35A85">
        <w:rPr>
          <w:rFonts w:ascii="Times New Roman" w:hAnsi="Times New Roman" w:cs="Times New Roman"/>
          <w:sz w:val="24"/>
        </w:rPr>
        <w:t xml:space="preserve"> interdi</w:t>
      </w:r>
      <w:r w:rsidR="00226BC6">
        <w:rPr>
          <w:rFonts w:ascii="Times New Roman" w:hAnsi="Times New Roman" w:cs="Times New Roman"/>
          <w:sz w:val="24"/>
        </w:rPr>
        <w:t>sciplinary course pair (N=</w:t>
      </w:r>
      <w:r>
        <w:rPr>
          <w:rFonts w:ascii="Times New Roman" w:hAnsi="Times New Roman" w:cs="Times New Roman"/>
          <w:sz w:val="24"/>
        </w:rPr>
        <w:t>33,534</w:t>
      </w:r>
      <w:r w:rsidR="00226BC6" w:rsidRPr="00B35A85">
        <w:rPr>
          <w:rFonts w:ascii="Times New Roman" w:hAnsi="Times New Roman" w:cs="Times New Roman"/>
          <w:sz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6"/>
        <w:gridCol w:w="2250"/>
        <w:gridCol w:w="1170"/>
        <w:gridCol w:w="1260"/>
        <w:gridCol w:w="1350"/>
      </w:tblGrid>
      <w:tr w:rsidR="00226BC6" w:rsidRPr="00B35A85" w14:paraId="1A8A58BC" w14:textId="77777777" w:rsidTr="00226BC6">
        <w:trPr>
          <w:trHeight w:val="252"/>
        </w:trPr>
        <w:tc>
          <w:tcPr>
            <w:tcW w:w="1075" w:type="dxa"/>
            <w:tcBorders>
              <w:top w:val="single" w:sz="4" w:space="0" w:color="auto"/>
              <w:bottom w:val="single" w:sz="4" w:space="0" w:color="auto"/>
            </w:tcBorders>
            <w:noWrap/>
            <w:hideMark/>
          </w:tcPr>
          <w:p w14:paraId="16D678A0" w14:textId="77777777" w:rsidR="00226BC6" w:rsidRPr="00B35A85" w:rsidRDefault="00226BC6" w:rsidP="00226BC6">
            <w:pPr>
              <w:rPr>
                <w:rFonts w:ascii="Times New Roman" w:eastAsia="Times New Roman" w:hAnsi="Times New Roman" w:cs="Times New Roman"/>
                <w:b/>
                <w:sz w:val="20"/>
                <w:szCs w:val="20"/>
              </w:rPr>
            </w:pPr>
            <w:r w:rsidRPr="00B35A85">
              <w:rPr>
                <w:rFonts w:ascii="Times New Roman" w:eastAsia="Times New Roman" w:hAnsi="Times New Roman" w:cs="Times New Roman"/>
                <w:b/>
                <w:sz w:val="20"/>
                <w:szCs w:val="20"/>
              </w:rPr>
              <w:t>Subject</w:t>
            </w:r>
          </w:p>
        </w:tc>
        <w:tc>
          <w:tcPr>
            <w:tcW w:w="2250" w:type="dxa"/>
            <w:tcBorders>
              <w:top w:val="single" w:sz="4" w:space="0" w:color="auto"/>
              <w:bottom w:val="single" w:sz="4" w:space="0" w:color="auto"/>
            </w:tcBorders>
            <w:noWrap/>
            <w:hideMark/>
          </w:tcPr>
          <w:p w14:paraId="3CDE4B25" w14:textId="77777777" w:rsidR="00226BC6" w:rsidRPr="00B35A85" w:rsidRDefault="00226BC6" w:rsidP="00226BC6">
            <w:pPr>
              <w:jc w:val="center"/>
              <w:rPr>
                <w:rFonts w:ascii="Times New Roman" w:eastAsia="Times New Roman" w:hAnsi="Times New Roman" w:cs="Times New Roman"/>
                <w:b/>
                <w:sz w:val="20"/>
                <w:szCs w:val="20"/>
              </w:rPr>
            </w:pPr>
            <w:r w:rsidRPr="00B35A85">
              <w:rPr>
                <w:rFonts w:ascii="Times New Roman" w:eastAsia="Times New Roman" w:hAnsi="Times New Roman" w:cs="Times New Roman"/>
                <w:b/>
                <w:sz w:val="20"/>
                <w:szCs w:val="20"/>
              </w:rPr>
              <w:t>Course</w:t>
            </w:r>
          </w:p>
        </w:tc>
        <w:tc>
          <w:tcPr>
            <w:tcW w:w="1170" w:type="dxa"/>
            <w:tcBorders>
              <w:top w:val="single" w:sz="4" w:space="0" w:color="auto"/>
              <w:bottom w:val="single" w:sz="4" w:space="0" w:color="auto"/>
            </w:tcBorders>
            <w:noWrap/>
            <w:hideMark/>
          </w:tcPr>
          <w:p w14:paraId="36F5AD0C" w14:textId="77777777" w:rsidR="00226BC6" w:rsidRPr="00B35A85" w:rsidRDefault="00226BC6" w:rsidP="00226BC6">
            <w:pPr>
              <w:jc w:val="center"/>
              <w:rPr>
                <w:rFonts w:ascii="Times New Roman" w:eastAsia="Times New Roman" w:hAnsi="Times New Roman" w:cs="Times New Roman"/>
                <w:b/>
                <w:sz w:val="20"/>
                <w:szCs w:val="20"/>
              </w:rPr>
            </w:pPr>
            <w:r w:rsidRPr="00B35A85">
              <w:rPr>
                <w:rFonts w:ascii="Times New Roman" w:eastAsia="Times New Roman" w:hAnsi="Times New Roman" w:cs="Times New Roman"/>
                <w:b/>
                <w:sz w:val="20"/>
                <w:szCs w:val="20"/>
              </w:rPr>
              <w:t>Start</w:t>
            </w:r>
          </w:p>
        </w:tc>
        <w:tc>
          <w:tcPr>
            <w:tcW w:w="1260" w:type="dxa"/>
            <w:tcBorders>
              <w:top w:val="single" w:sz="4" w:space="0" w:color="auto"/>
              <w:bottom w:val="single" w:sz="4" w:space="0" w:color="auto"/>
            </w:tcBorders>
            <w:noWrap/>
            <w:hideMark/>
          </w:tcPr>
          <w:p w14:paraId="09FC80B3" w14:textId="77777777" w:rsidR="00226BC6" w:rsidRPr="00B35A85" w:rsidRDefault="00226BC6" w:rsidP="00226BC6">
            <w:pPr>
              <w:jc w:val="center"/>
              <w:rPr>
                <w:rFonts w:ascii="Times New Roman" w:eastAsia="Times New Roman" w:hAnsi="Times New Roman" w:cs="Times New Roman"/>
                <w:b/>
                <w:sz w:val="20"/>
                <w:szCs w:val="20"/>
              </w:rPr>
            </w:pPr>
            <w:r w:rsidRPr="00B35A85">
              <w:rPr>
                <w:rFonts w:ascii="Times New Roman" w:eastAsia="Times New Roman" w:hAnsi="Times New Roman" w:cs="Times New Roman"/>
                <w:b/>
                <w:sz w:val="20"/>
                <w:szCs w:val="20"/>
              </w:rPr>
              <w:t>Ever Enroll</w:t>
            </w:r>
          </w:p>
        </w:tc>
        <w:tc>
          <w:tcPr>
            <w:tcW w:w="1350" w:type="dxa"/>
            <w:tcBorders>
              <w:top w:val="single" w:sz="4" w:space="0" w:color="auto"/>
              <w:bottom w:val="single" w:sz="4" w:space="0" w:color="auto"/>
            </w:tcBorders>
            <w:noWrap/>
            <w:hideMark/>
          </w:tcPr>
          <w:p w14:paraId="36E2169D" w14:textId="77777777" w:rsidR="00226BC6" w:rsidRPr="00B35A85" w:rsidRDefault="00226BC6" w:rsidP="00226BC6">
            <w:pPr>
              <w:jc w:val="center"/>
              <w:rPr>
                <w:rFonts w:ascii="Times New Roman" w:eastAsia="Times New Roman" w:hAnsi="Times New Roman" w:cs="Times New Roman"/>
                <w:b/>
                <w:sz w:val="20"/>
                <w:szCs w:val="20"/>
              </w:rPr>
            </w:pPr>
            <w:r w:rsidRPr="00B35A85">
              <w:rPr>
                <w:rFonts w:ascii="Times New Roman" w:eastAsia="Times New Roman" w:hAnsi="Times New Roman" w:cs="Times New Roman"/>
                <w:b/>
                <w:sz w:val="20"/>
                <w:szCs w:val="20"/>
              </w:rPr>
              <w:t>Final Enroll</w:t>
            </w:r>
          </w:p>
        </w:tc>
      </w:tr>
      <w:tr w:rsidR="00226BC6" w:rsidRPr="00B35A85" w14:paraId="0E26BF75" w14:textId="77777777" w:rsidTr="00226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1075" w:type="dxa"/>
            <w:tcBorders>
              <w:top w:val="single" w:sz="4" w:space="0" w:color="auto"/>
              <w:left w:val="nil"/>
              <w:bottom w:val="nil"/>
              <w:right w:val="nil"/>
            </w:tcBorders>
            <w:noWrap/>
            <w:hideMark/>
          </w:tcPr>
          <w:p w14:paraId="487AD3A7" w14:textId="77777777" w:rsidR="00226BC6" w:rsidRPr="00B35A85" w:rsidRDefault="00226BC6" w:rsidP="00226BC6">
            <w:pPr>
              <w:rPr>
                <w:rFonts w:ascii="Times New Roman" w:eastAsia="Times New Roman" w:hAnsi="Times New Roman" w:cs="Times New Roman"/>
                <w:b/>
                <w:color w:val="000000"/>
                <w:sz w:val="20"/>
                <w:szCs w:val="20"/>
              </w:rPr>
            </w:pPr>
            <w:r w:rsidRPr="00B35A85">
              <w:rPr>
                <w:rFonts w:ascii="Times New Roman" w:eastAsia="Times New Roman" w:hAnsi="Times New Roman" w:cs="Times New Roman"/>
                <w:b/>
                <w:color w:val="000000"/>
                <w:sz w:val="20"/>
                <w:szCs w:val="20"/>
              </w:rPr>
              <w:t>Chemistry</w:t>
            </w:r>
          </w:p>
        </w:tc>
        <w:tc>
          <w:tcPr>
            <w:tcW w:w="2250" w:type="dxa"/>
            <w:tcBorders>
              <w:top w:val="single" w:sz="4" w:space="0" w:color="auto"/>
              <w:left w:val="nil"/>
              <w:bottom w:val="nil"/>
              <w:right w:val="nil"/>
            </w:tcBorders>
            <w:noWrap/>
            <w:hideMark/>
          </w:tcPr>
          <w:p w14:paraId="2B167FB7" w14:textId="77777777" w:rsidR="00226BC6" w:rsidRPr="00B35A85" w:rsidRDefault="00226BC6" w:rsidP="00226BC6">
            <w:pPr>
              <w:jc w:val="right"/>
              <w:rPr>
                <w:rFonts w:ascii="Times New Roman" w:eastAsia="Times New Roman" w:hAnsi="Times New Roman" w:cs="Times New Roman"/>
                <w:color w:val="000000"/>
                <w:sz w:val="20"/>
                <w:szCs w:val="20"/>
              </w:rPr>
            </w:pPr>
            <w:r w:rsidRPr="00B35A85">
              <w:rPr>
                <w:rFonts w:ascii="Times New Roman" w:eastAsia="Times New Roman" w:hAnsi="Times New Roman" w:cs="Times New Roman"/>
                <w:color w:val="000000"/>
                <w:sz w:val="20"/>
                <w:szCs w:val="20"/>
              </w:rPr>
              <w:t>Applied Chemistry I</w:t>
            </w:r>
          </w:p>
        </w:tc>
        <w:tc>
          <w:tcPr>
            <w:tcW w:w="1170" w:type="dxa"/>
            <w:tcBorders>
              <w:top w:val="single" w:sz="4" w:space="0" w:color="auto"/>
              <w:left w:val="nil"/>
              <w:bottom w:val="nil"/>
              <w:right w:val="nil"/>
            </w:tcBorders>
            <w:noWrap/>
            <w:hideMark/>
          </w:tcPr>
          <w:p w14:paraId="192E655A" w14:textId="77777777" w:rsidR="00226BC6" w:rsidRPr="00B35A85" w:rsidRDefault="00995D85" w:rsidP="00226BC6">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0.060</w:t>
            </w:r>
          </w:p>
        </w:tc>
        <w:tc>
          <w:tcPr>
            <w:tcW w:w="1260" w:type="dxa"/>
            <w:tcBorders>
              <w:top w:val="single" w:sz="4" w:space="0" w:color="auto"/>
              <w:left w:val="nil"/>
              <w:bottom w:val="nil"/>
              <w:right w:val="nil"/>
            </w:tcBorders>
            <w:noWrap/>
            <w:hideMark/>
          </w:tcPr>
          <w:p w14:paraId="23F2E751" w14:textId="77777777" w:rsidR="00226BC6" w:rsidRPr="00B35A85" w:rsidRDefault="00226BC6" w:rsidP="00995D85">
            <w:pPr>
              <w:jc w:val="right"/>
              <w:rPr>
                <w:rFonts w:ascii="Times New Roman" w:eastAsia="Times New Roman" w:hAnsi="Times New Roman" w:cs="Times New Roman"/>
                <w:color w:val="000000"/>
                <w:sz w:val="20"/>
                <w:szCs w:val="20"/>
              </w:rPr>
            </w:pPr>
            <w:r w:rsidRPr="00B35A85">
              <w:rPr>
                <w:rFonts w:ascii="Times New Roman" w:eastAsia="Times New Roman" w:hAnsi="Times New Roman" w:cs="Times New Roman"/>
                <w:color w:val="000000"/>
                <w:sz w:val="20"/>
                <w:szCs w:val="20"/>
              </w:rPr>
              <w:t>0.0</w:t>
            </w:r>
            <w:r w:rsidR="00995D85">
              <w:rPr>
                <w:rFonts w:ascii="Times New Roman" w:eastAsia="Times New Roman" w:hAnsi="Times New Roman" w:cs="Times New Roman"/>
                <w:color w:val="000000"/>
                <w:sz w:val="20"/>
                <w:szCs w:val="20"/>
              </w:rPr>
              <w:t>82</w:t>
            </w:r>
          </w:p>
        </w:tc>
        <w:tc>
          <w:tcPr>
            <w:tcW w:w="1350" w:type="dxa"/>
            <w:tcBorders>
              <w:top w:val="single" w:sz="4" w:space="0" w:color="auto"/>
              <w:left w:val="nil"/>
              <w:bottom w:val="nil"/>
              <w:right w:val="nil"/>
            </w:tcBorders>
            <w:noWrap/>
            <w:hideMark/>
          </w:tcPr>
          <w:p w14:paraId="38A0DC0D" w14:textId="77777777" w:rsidR="00226BC6" w:rsidRPr="00B35A85" w:rsidRDefault="00226BC6" w:rsidP="00226BC6">
            <w:pPr>
              <w:jc w:val="right"/>
              <w:rPr>
                <w:rFonts w:ascii="Times New Roman" w:eastAsia="Times New Roman" w:hAnsi="Times New Roman" w:cs="Times New Roman"/>
                <w:color w:val="000000"/>
                <w:sz w:val="20"/>
                <w:szCs w:val="20"/>
              </w:rPr>
            </w:pPr>
            <w:r w:rsidRPr="00B35A85">
              <w:rPr>
                <w:rFonts w:ascii="Times New Roman" w:eastAsia="Times New Roman" w:hAnsi="Times New Roman" w:cs="Times New Roman"/>
                <w:color w:val="000000"/>
                <w:sz w:val="20"/>
                <w:szCs w:val="20"/>
              </w:rPr>
              <w:t>0</w:t>
            </w:r>
            <w:r w:rsidR="00995D85">
              <w:rPr>
                <w:rFonts w:ascii="Times New Roman" w:eastAsia="Times New Roman" w:hAnsi="Times New Roman" w:cs="Times New Roman"/>
                <w:color w:val="000000"/>
                <w:sz w:val="20"/>
                <w:szCs w:val="20"/>
              </w:rPr>
              <w:t>.012</w:t>
            </w:r>
          </w:p>
        </w:tc>
      </w:tr>
      <w:tr w:rsidR="00226BC6" w:rsidRPr="00B35A85" w14:paraId="65216CCB" w14:textId="77777777" w:rsidTr="00226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1075" w:type="dxa"/>
            <w:tcBorders>
              <w:top w:val="nil"/>
              <w:left w:val="nil"/>
              <w:bottom w:val="nil"/>
              <w:right w:val="nil"/>
            </w:tcBorders>
            <w:noWrap/>
            <w:hideMark/>
          </w:tcPr>
          <w:p w14:paraId="7F8BB215" w14:textId="77777777" w:rsidR="00226BC6" w:rsidRPr="00B35A85" w:rsidRDefault="00226BC6" w:rsidP="00226BC6">
            <w:pPr>
              <w:jc w:val="right"/>
              <w:rPr>
                <w:rFonts w:ascii="Times New Roman" w:eastAsia="Times New Roman" w:hAnsi="Times New Roman" w:cs="Times New Roman"/>
                <w:b/>
                <w:color w:val="000000"/>
                <w:sz w:val="20"/>
                <w:szCs w:val="20"/>
              </w:rPr>
            </w:pPr>
          </w:p>
        </w:tc>
        <w:tc>
          <w:tcPr>
            <w:tcW w:w="2250" w:type="dxa"/>
            <w:tcBorders>
              <w:top w:val="nil"/>
              <w:left w:val="nil"/>
              <w:bottom w:val="nil"/>
              <w:right w:val="nil"/>
            </w:tcBorders>
            <w:noWrap/>
            <w:hideMark/>
          </w:tcPr>
          <w:p w14:paraId="2D3BD3E1" w14:textId="77777777" w:rsidR="00226BC6" w:rsidRPr="00B35A85" w:rsidRDefault="00226BC6" w:rsidP="00226BC6">
            <w:pPr>
              <w:jc w:val="right"/>
              <w:rPr>
                <w:rFonts w:ascii="Times New Roman" w:eastAsia="Times New Roman" w:hAnsi="Times New Roman" w:cs="Times New Roman"/>
                <w:color w:val="000000"/>
                <w:sz w:val="20"/>
                <w:szCs w:val="20"/>
              </w:rPr>
            </w:pPr>
            <w:r w:rsidRPr="00B35A85">
              <w:rPr>
                <w:rFonts w:ascii="Times New Roman" w:eastAsia="Times New Roman" w:hAnsi="Times New Roman" w:cs="Times New Roman"/>
                <w:color w:val="000000"/>
                <w:sz w:val="20"/>
                <w:szCs w:val="20"/>
              </w:rPr>
              <w:t>Introductory Chemistry</w:t>
            </w:r>
          </w:p>
        </w:tc>
        <w:tc>
          <w:tcPr>
            <w:tcW w:w="1170" w:type="dxa"/>
            <w:tcBorders>
              <w:top w:val="nil"/>
              <w:left w:val="nil"/>
              <w:bottom w:val="nil"/>
              <w:right w:val="nil"/>
            </w:tcBorders>
            <w:noWrap/>
            <w:hideMark/>
          </w:tcPr>
          <w:p w14:paraId="6B3C2924" w14:textId="77777777" w:rsidR="00226BC6" w:rsidRPr="00B35A85" w:rsidRDefault="00995D85" w:rsidP="00226BC6">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0.507</w:t>
            </w:r>
          </w:p>
        </w:tc>
        <w:tc>
          <w:tcPr>
            <w:tcW w:w="1260" w:type="dxa"/>
            <w:tcBorders>
              <w:top w:val="nil"/>
              <w:left w:val="nil"/>
              <w:bottom w:val="nil"/>
              <w:right w:val="nil"/>
            </w:tcBorders>
            <w:noWrap/>
            <w:hideMark/>
          </w:tcPr>
          <w:p w14:paraId="7E033213" w14:textId="77777777" w:rsidR="00226BC6" w:rsidRPr="00B35A85" w:rsidRDefault="00995D85" w:rsidP="00226BC6">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0.726</w:t>
            </w:r>
          </w:p>
        </w:tc>
        <w:tc>
          <w:tcPr>
            <w:tcW w:w="1350" w:type="dxa"/>
            <w:tcBorders>
              <w:top w:val="nil"/>
              <w:left w:val="nil"/>
              <w:bottom w:val="nil"/>
              <w:right w:val="nil"/>
            </w:tcBorders>
            <w:noWrap/>
            <w:hideMark/>
          </w:tcPr>
          <w:p w14:paraId="5BA50799" w14:textId="77777777" w:rsidR="00226BC6" w:rsidRPr="00B35A85" w:rsidRDefault="00995D85" w:rsidP="00226BC6">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0.009</w:t>
            </w:r>
          </w:p>
        </w:tc>
      </w:tr>
      <w:tr w:rsidR="00226BC6" w:rsidRPr="00B35A85" w14:paraId="3DB00B29" w14:textId="77777777" w:rsidTr="00226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1075" w:type="dxa"/>
            <w:tcBorders>
              <w:top w:val="nil"/>
              <w:left w:val="nil"/>
              <w:bottom w:val="nil"/>
              <w:right w:val="nil"/>
            </w:tcBorders>
            <w:noWrap/>
            <w:hideMark/>
          </w:tcPr>
          <w:p w14:paraId="4E579D62" w14:textId="77777777" w:rsidR="00226BC6" w:rsidRPr="00B35A85" w:rsidRDefault="00226BC6" w:rsidP="00226BC6">
            <w:pPr>
              <w:jc w:val="right"/>
              <w:rPr>
                <w:rFonts w:ascii="Times New Roman" w:eastAsia="Times New Roman" w:hAnsi="Times New Roman" w:cs="Times New Roman"/>
                <w:b/>
                <w:color w:val="000000"/>
                <w:sz w:val="20"/>
                <w:szCs w:val="20"/>
              </w:rPr>
            </w:pPr>
          </w:p>
        </w:tc>
        <w:tc>
          <w:tcPr>
            <w:tcW w:w="2250" w:type="dxa"/>
            <w:tcBorders>
              <w:top w:val="nil"/>
              <w:left w:val="nil"/>
              <w:bottom w:val="nil"/>
              <w:right w:val="nil"/>
            </w:tcBorders>
            <w:noWrap/>
            <w:hideMark/>
          </w:tcPr>
          <w:p w14:paraId="123D9930" w14:textId="77777777" w:rsidR="00226BC6" w:rsidRPr="00B35A85" w:rsidRDefault="00226BC6" w:rsidP="00226BC6">
            <w:pPr>
              <w:jc w:val="right"/>
              <w:rPr>
                <w:rFonts w:ascii="Times New Roman" w:eastAsia="Times New Roman" w:hAnsi="Times New Roman" w:cs="Times New Roman"/>
                <w:color w:val="000000"/>
                <w:sz w:val="20"/>
                <w:szCs w:val="20"/>
              </w:rPr>
            </w:pPr>
            <w:r w:rsidRPr="00B35A85">
              <w:rPr>
                <w:rFonts w:ascii="Times New Roman" w:eastAsia="Times New Roman" w:hAnsi="Times New Roman" w:cs="Times New Roman"/>
                <w:color w:val="000000"/>
                <w:sz w:val="20"/>
                <w:szCs w:val="20"/>
              </w:rPr>
              <w:t>General Chemistry I</w:t>
            </w:r>
          </w:p>
        </w:tc>
        <w:tc>
          <w:tcPr>
            <w:tcW w:w="1170" w:type="dxa"/>
            <w:tcBorders>
              <w:top w:val="nil"/>
              <w:left w:val="nil"/>
              <w:bottom w:val="nil"/>
              <w:right w:val="nil"/>
            </w:tcBorders>
            <w:noWrap/>
            <w:hideMark/>
          </w:tcPr>
          <w:p w14:paraId="602A7F15" w14:textId="77777777" w:rsidR="00226BC6" w:rsidRPr="00B35A85" w:rsidRDefault="00995D85" w:rsidP="00226BC6">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0.422</w:t>
            </w:r>
          </w:p>
        </w:tc>
        <w:tc>
          <w:tcPr>
            <w:tcW w:w="1260" w:type="dxa"/>
            <w:tcBorders>
              <w:top w:val="nil"/>
              <w:left w:val="nil"/>
              <w:bottom w:val="nil"/>
              <w:right w:val="nil"/>
            </w:tcBorders>
            <w:noWrap/>
            <w:hideMark/>
          </w:tcPr>
          <w:p w14:paraId="595A2EC1" w14:textId="77777777" w:rsidR="00226BC6" w:rsidRPr="00B35A85" w:rsidRDefault="00995D85" w:rsidP="00226BC6">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1.000</w:t>
            </w:r>
          </w:p>
        </w:tc>
        <w:tc>
          <w:tcPr>
            <w:tcW w:w="1350" w:type="dxa"/>
            <w:tcBorders>
              <w:top w:val="nil"/>
              <w:left w:val="nil"/>
              <w:bottom w:val="nil"/>
              <w:right w:val="nil"/>
            </w:tcBorders>
            <w:noWrap/>
            <w:hideMark/>
          </w:tcPr>
          <w:p w14:paraId="73C0920E" w14:textId="77777777" w:rsidR="00226BC6" w:rsidRPr="00B35A85" w:rsidRDefault="00995D85" w:rsidP="00226BC6">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0.263</w:t>
            </w:r>
          </w:p>
        </w:tc>
      </w:tr>
      <w:tr w:rsidR="00226BC6" w:rsidRPr="00B35A85" w14:paraId="1476EB63" w14:textId="77777777" w:rsidTr="00226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1075" w:type="dxa"/>
            <w:tcBorders>
              <w:top w:val="nil"/>
              <w:left w:val="nil"/>
              <w:bottom w:val="nil"/>
              <w:right w:val="nil"/>
            </w:tcBorders>
            <w:noWrap/>
            <w:hideMark/>
          </w:tcPr>
          <w:p w14:paraId="25A90946" w14:textId="77777777" w:rsidR="00226BC6" w:rsidRPr="00B35A85" w:rsidRDefault="00226BC6" w:rsidP="00226BC6">
            <w:pPr>
              <w:jc w:val="right"/>
              <w:rPr>
                <w:rFonts w:ascii="Times New Roman" w:eastAsia="Times New Roman" w:hAnsi="Times New Roman" w:cs="Times New Roman"/>
                <w:b/>
                <w:color w:val="000000"/>
                <w:sz w:val="20"/>
                <w:szCs w:val="20"/>
              </w:rPr>
            </w:pPr>
          </w:p>
        </w:tc>
        <w:tc>
          <w:tcPr>
            <w:tcW w:w="2250" w:type="dxa"/>
            <w:tcBorders>
              <w:top w:val="nil"/>
              <w:left w:val="nil"/>
              <w:bottom w:val="nil"/>
              <w:right w:val="nil"/>
            </w:tcBorders>
            <w:noWrap/>
            <w:hideMark/>
          </w:tcPr>
          <w:p w14:paraId="60D5930D" w14:textId="77777777" w:rsidR="00226BC6" w:rsidRPr="00B35A85" w:rsidRDefault="00226BC6" w:rsidP="00226BC6">
            <w:pPr>
              <w:jc w:val="right"/>
              <w:rPr>
                <w:rFonts w:ascii="Times New Roman" w:eastAsia="Times New Roman" w:hAnsi="Times New Roman" w:cs="Times New Roman"/>
                <w:color w:val="000000"/>
                <w:sz w:val="20"/>
                <w:szCs w:val="20"/>
              </w:rPr>
            </w:pPr>
            <w:r w:rsidRPr="00B35A85">
              <w:rPr>
                <w:rFonts w:ascii="Times New Roman" w:eastAsia="Times New Roman" w:hAnsi="Times New Roman" w:cs="Times New Roman"/>
                <w:color w:val="000000"/>
                <w:sz w:val="20"/>
                <w:szCs w:val="20"/>
              </w:rPr>
              <w:t>General Chemistry II</w:t>
            </w:r>
          </w:p>
        </w:tc>
        <w:tc>
          <w:tcPr>
            <w:tcW w:w="1170" w:type="dxa"/>
            <w:tcBorders>
              <w:top w:val="nil"/>
              <w:left w:val="nil"/>
              <w:bottom w:val="nil"/>
              <w:right w:val="nil"/>
            </w:tcBorders>
            <w:noWrap/>
            <w:hideMark/>
          </w:tcPr>
          <w:p w14:paraId="7C7744A4" w14:textId="77777777" w:rsidR="00226BC6" w:rsidRPr="00B35A85" w:rsidRDefault="00226BC6" w:rsidP="00226BC6">
            <w:pPr>
              <w:jc w:val="right"/>
              <w:rPr>
                <w:rFonts w:ascii="Times New Roman" w:eastAsia="Times New Roman" w:hAnsi="Times New Roman" w:cs="Times New Roman"/>
                <w:color w:val="000000"/>
                <w:sz w:val="20"/>
                <w:szCs w:val="20"/>
              </w:rPr>
            </w:pPr>
            <w:r w:rsidRPr="00B35A85">
              <w:rPr>
                <w:rFonts w:ascii="Times New Roman" w:eastAsia="Times New Roman" w:hAnsi="Times New Roman" w:cs="Times New Roman"/>
                <w:color w:val="000000"/>
                <w:sz w:val="20"/>
                <w:szCs w:val="20"/>
              </w:rPr>
              <w:t>0.001</w:t>
            </w:r>
          </w:p>
        </w:tc>
        <w:tc>
          <w:tcPr>
            <w:tcW w:w="1260" w:type="dxa"/>
            <w:tcBorders>
              <w:top w:val="nil"/>
              <w:left w:val="nil"/>
              <w:bottom w:val="nil"/>
              <w:right w:val="nil"/>
            </w:tcBorders>
            <w:noWrap/>
            <w:hideMark/>
          </w:tcPr>
          <w:p w14:paraId="06914F80" w14:textId="77777777" w:rsidR="00226BC6" w:rsidRPr="00B35A85" w:rsidRDefault="00995D85" w:rsidP="00226BC6">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0.703</w:t>
            </w:r>
          </w:p>
        </w:tc>
        <w:tc>
          <w:tcPr>
            <w:tcW w:w="1350" w:type="dxa"/>
            <w:tcBorders>
              <w:top w:val="nil"/>
              <w:left w:val="nil"/>
              <w:bottom w:val="nil"/>
              <w:right w:val="nil"/>
            </w:tcBorders>
            <w:noWrap/>
            <w:hideMark/>
          </w:tcPr>
          <w:p w14:paraId="0FA3A829" w14:textId="77777777" w:rsidR="00226BC6" w:rsidRPr="00B35A85" w:rsidRDefault="00995D85" w:rsidP="00226BC6">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0.347</w:t>
            </w:r>
          </w:p>
        </w:tc>
      </w:tr>
      <w:tr w:rsidR="00226BC6" w:rsidRPr="00B35A85" w14:paraId="3401783B" w14:textId="77777777" w:rsidTr="00226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1075" w:type="dxa"/>
            <w:tcBorders>
              <w:top w:val="nil"/>
              <w:left w:val="nil"/>
              <w:bottom w:val="nil"/>
              <w:right w:val="nil"/>
            </w:tcBorders>
            <w:noWrap/>
            <w:hideMark/>
          </w:tcPr>
          <w:p w14:paraId="3130FB2D" w14:textId="77777777" w:rsidR="00226BC6" w:rsidRPr="00B35A85" w:rsidRDefault="00226BC6" w:rsidP="00226BC6">
            <w:pPr>
              <w:jc w:val="right"/>
              <w:rPr>
                <w:rFonts w:ascii="Times New Roman" w:eastAsia="Times New Roman" w:hAnsi="Times New Roman" w:cs="Times New Roman"/>
                <w:b/>
                <w:color w:val="000000"/>
                <w:sz w:val="20"/>
                <w:szCs w:val="20"/>
              </w:rPr>
            </w:pPr>
          </w:p>
        </w:tc>
        <w:tc>
          <w:tcPr>
            <w:tcW w:w="2250" w:type="dxa"/>
            <w:tcBorders>
              <w:top w:val="nil"/>
              <w:left w:val="nil"/>
              <w:bottom w:val="nil"/>
              <w:right w:val="nil"/>
            </w:tcBorders>
            <w:noWrap/>
            <w:hideMark/>
          </w:tcPr>
          <w:p w14:paraId="3F20A864" w14:textId="77777777" w:rsidR="00226BC6" w:rsidRPr="00B35A85" w:rsidRDefault="00226BC6" w:rsidP="00226BC6">
            <w:pPr>
              <w:jc w:val="right"/>
              <w:rPr>
                <w:rFonts w:ascii="Times New Roman" w:eastAsia="Times New Roman" w:hAnsi="Times New Roman" w:cs="Times New Roman"/>
                <w:color w:val="000000"/>
                <w:sz w:val="20"/>
                <w:szCs w:val="20"/>
              </w:rPr>
            </w:pPr>
            <w:r w:rsidRPr="00B35A85">
              <w:rPr>
                <w:rFonts w:ascii="Times New Roman" w:eastAsia="Times New Roman" w:hAnsi="Times New Roman" w:cs="Times New Roman"/>
                <w:color w:val="000000"/>
                <w:sz w:val="20"/>
                <w:szCs w:val="20"/>
              </w:rPr>
              <w:t>Organic Chemistry I</w:t>
            </w:r>
          </w:p>
        </w:tc>
        <w:tc>
          <w:tcPr>
            <w:tcW w:w="1170" w:type="dxa"/>
            <w:tcBorders>
              <w:top w:val="nil"/>
              <w:left w:val="nil"/>
              <w:bottom w:val="nil"/>
              <w:right w:val="nil"/>
            </w:tcBorders>
            <w:noWrap/>
            <w:hideMark/>
          </w:tcPr>
          <w:p w14:paraId="62E8E343" w14:textId="77777777" w:rsidR="00226BC6" w:rsidRPr="00B35A85" w:rsidRDefault="00226BC6" w:rsidP="00226BC6">
            <w:pPr>
              <w:jc w:val="right"/>
              <w:rPr>
                <w:rFonts w:ascii="Times New Roman" w:eastAsia="Times New Roman" w:hAnsi="Times New Roman" w:cs="Times New Roman"/>
                <w:color w:val="000000"/>
                <w:sz w:val="20"/>
                <w:szCs w:val="20"/>
              </w:rPr>
            </w:pPr>
            <w:r w:rsidRPr="00B35A85">
              <w:rPr>
                <w:rFonts w:ascii="Times New Roman" w:eastAsia="Times New Roman" w:hAnsi="Times New Roman" w:cs="Times New Roman"/>
                <w:color w:val="000000"/>
                <w:sz w:val="20"/>
                <w:szCs w:val="20"/>
              </w:rPr>
              <w:t>0.001</w:t>
            </w:r>
          </w:p>
        </w:tc>
        <w:tc>
          <w:tcPr>
            <w:tcW w:w="1260" w:type="dxa"/>
            <w:tcBorders>
              <w:top w:val="nil"/>
              <w:left w:val="nil"/>
              <w:bottom w:val="nil"/>
              <w:right w:val="nil"/>
            </w:tcBorders>
            <w:noWrap/>
            <w:hideMark/>
          </w:tcPr>
          <w:p w14:paraId="1B636080" w14:textId="77777777" w:rsidR="00226BC6" w:rsidRPr="00B35A85" w:rsidRDefault="00995D85" w:rsidP="00226BC6">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0.343</w:t>
            </w:r>
          </w:p>
        </w:tc>
        <w:tc>
          <w:tcPr>
            <w:tcW w:w="1350" w:type="dxa"/>
            <w:tcBorders>
              <w:top w:val="nil"/>
              <w:left w:val="nil"/>
              <w:bottom w:val="nil"/>
              <w:right w:val="nil"/>
            </w:tcBorders>
            <w:noWrap/>
            <w:hideMark/>
          </w:tcPr>
          <w:p w14:paraId="4E79DC33" w14:textId="77777777" w:rsidR="00226BC6" w:rsidRPr="00B35A85" w:rsidRDefault="00995D85" w:rsidP="00226BC6">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0.108</w:t>
            </w:r>
          </w:p>
        </w:tc>
      </w:tr>
      <w:tr w:rsidR="00226BC6" w:rsidRPr="00B35A85" w14:paraId="0337A801" w14:textId="77777777" w:rsidTr="00226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1075" w:type="dxa"/>
            <w:tcBorders>
              <w:top w:val="nil"/>
              <w:left w:val="nil"/>
              <w:bottom w:val="nil"/>
              <w:right w:val="nil"/>
            </w:tcBorders>
            <w:noWrap/>
            <w:hideMark/>
          </w:tcPr>
          <w:p w14:paraId="376E31E5" w14:textId="77777777" w:rsidR="00226BC6" w:rsidRPr="00B35A85" w:rsidRDefault="00226BC6" w:rsidP="00226BC6">
            <w:pPr>
              <w:jc w:val="right"/>
              <w:rPr>
                <w:rFonts w:ascii="Times New Roman" w:eastAsia="Times New Roman" w:hAnsi="Times New Roman" w:cs="Times New Roman"/>
                <w:b/>
                <w:color w:val="000000"/>
                <w:sz w:val="20"/>
                <w:szCs w:val="20"/>
              </w:rPr>
            </w:pPr>
          </w:p>
        </w:tc>
        <w:tc>
          <w:tcPr>
            <w:tcW w:w="2250" w:type="dxa"/>
            <w:tcBorders>
              <w:top w:val="nil"/>
              <w:left w:val="nil"/>
              <w:bottom w:val="nil"/>
              <w:right w:val="nil"/>
            </w:tcBorders>
            <w:noWrap/>
            <w:hideMark/>
          </w:tcPr>
          <w:p w14:paraId="197CFC74" w14:textId="77777777" w:rsidR="00226BC6" w:rsidRPr="00B35A85" w:rsidRDefault="00226BC6" w:rsidP="00226BC6">
            <w:pPr>
              <w:jc w:val="right"/>
              <w:rPr>
                <w:rFonts w:ascii="Times New Roman" w:eastAsia="Times New Roman" w:hAnsi="Times New Roman" w:cs="Times New Roman"/>
                <w:color w:val="000000"/>
                <w:sz w:val="20"/>
                <w:szCs w:val="20"/>
              </w:rPr>
            </w:pPr>
            <w:r w:rsidRPr="00B35A85">
              <w:rPr>
                <w:rFonts w:ascii="Times New Roman" w:eastAsia="Times New Roman" w:hAnsi="Times New Roman" w:cs="Times New Roman"/>
                <w:color w:val="000000"/>
                <w:sz w:val="20"/>
                <w:szCs w:val="20"/>
              </w:rPr>
              <w:t>Organic Chemistry II</w:t>
            </w:r>
          </w:p>
        </w:tc>
        <w:tc>
          <w:tcPr>
            <w:tcW w:w="1170" w:type="dxa"/>
            <w:tcBorders>
              <w:top w:val="nil"/>
              <w:left w:val="nil"/>
              <w:bottom w:val="nil"/>
              <w:right w:val="nil"/>
            </w:tcBorders>
            <w:noWrap/>
            <w:hideMark/>
          </w:tcPr>
          <w:p w14:paraId="6AEDB4F2" w14:textId="77777777" w:rsidR="00226BC6" w:rsidRPr="00B35A85" w:rsidRDefault="00226BC6" w:rsidP="00226BC6">
            <w:pPr>
              <w:jc w:val="right"/>
              <w:rPr>
                <w:rFonts w:ascii="Times New Roman" w:eastAsia="Times New Roman" w:hAnsi="Times New Roman" w:cs="Times New Roman"/>
                <w:color w:val="000000"/>
                <w:sz w:val="20"/>
                <w:szCs w:val="20"/>
              </w:rPr>
            </w:pPr>
            <w:r w:rsidRPr="00B35A85">
              <w:rPr>
                <w:rFonts w:ascii="Times New Roman" w:eastAsia="Times New Roman" w:hAnsi="Times New Roman" w:cs="Times New Roman"/>
                <w:color w:val="000000"/>
                <w:sz w:val="20"/>
                <w:szCs w:val="20"/>
              </w:rPr>
              <w:t>0.000</w:t>
            </w:r>
          </w:p>
        </w:tc>
        <w:tc>
          <w:tcPr>
            <w:tcW w:w="1260" w:type="dxa"/>
            <w:tcBorders>
              <w:top w:val="nil"/>
              <w:left w:val="nil"/>
              <w:bottom w:val="nil"/>
              <w:right w:val="nil"/>
            </w:tcBorders>
            <w:noWrap/>
            <w:hideMark/>
          </w:tcPr>
          <w:p w14:paraId="3C439AB4" w14:textId="77777777" w:rsidR="00226BC6" w:rsidRPr="00B35A85" w:rsidRDefault="00995D85" w:rsidP="00226BC6">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0.242</w:t>
            </w:r>
          </w:p>
        </w:tc>
        <w:tc>
          <w:tcPr>
            <w:tcW w:w="1350" w:type="dxa"/>
            <w:tcBorders>
              <w:top w:val="nil"/>
              <w:left w:val="nil"/>
              <w:bottom w:val="nil"/>
              <w:right w:val="nil"/>
            </w:tcBorders>
            <w:noWrap/>
            <w:hideMark/>
          </w:tcPr>
          <w:p w14:paraId="0892CFB9" w14:textId="77777777" w:rsidR="00226BC6" w:rsidRPr="00B35A85" w:rsidRDefault="00995D85" w:rsidP="00226BC6">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0.233</w:t>
            </w:r>
          </w:p>
        </w:tc>
      </w:tr>
      <w:tr w:rsidR="00226BC6" w:rsidRPr="00B35A85" w14:paraId="70AA5DFE" w14:textId="77777777" w:rsidTr="00226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1075" w:type="dxa"/>
            <w:tcBorders>
              <w:top w:val="nil"/>
              <w:left w:val="nil"/>
              <w:bottom w:val="nil"/>
              <w:right w:val="nil"/>
            </w:tcBorders>
            <w:noWrap/>
            <w:hideMark/>
          </w:tcPr>
          <w:p w14:paraId="0934DFE5" w14:textId="77777777" w:rsidR="00226BC6" w:rsidRPr="00B35A85" w:rsidRDefault="00226BC6" w:rsidP="00226BC6">
            <w:pPr>
              <w:rPr>
                <w:rFonts w:ascii="Times New Roman" w:eastAsia="Times New Roman" w:hAnsi="Times New Roman" w:cs="Times New Roman"/>
                <w:b/>
                <w:color w:val="000000"/>
                <w:sz w:val="20"/>
                <w:szCs w:val="20"/>
              </w:rPr>
            </w:pPr>
            <w:r w:rsidRPr="00B35A85">
              <w:rPr>
                <w:rFonts w:ascii="Times New Roman" w:eastAsia="Times New Roman" w:hAnsi="Times New Roman" w:cs="Times New Roman"/>
                <w:b/>
                <w:color w:val="000000"/>
                <w:sz w:val="20"/>
                <w:szCs w:val="20"/>
              </w:rPr>
              <w:t>Biology</w:t>
            </w:r>
          </w:p>
        </w:tc>
        <w:tc>
          <w:tcPr>
            <w:tcW w:w="2250" w:type="dxa"/>
            <w:tcBorders>
              <w:top w:val="nil"/>
              <w:left w:val="nil"/>
              <w:bottom w:val="nil"/>
              <w:right w:val="nil"/>
            </w:tcBorders>
            <w:noWrap/>
            <w:hideMark/>
          </w:tcPr>
          <w:p w14:paraId="4C7E0A24" w14:textId="77777777" w:rsidR="00226BC6" w:rsidRPr="00B35A85" w:rsidRDefault="00226BC6" w:rsidP="00226BC6">
            <w:pPr>
              <w:jc w:val="right"/>
              <w:rPr>
                <w:rFonts w:ascii="Times New Roman" w:eastAsia="Times New Roman" w:hAnsi="Times New Roman" w:cs="Times New Roman"/>
                <w:color w:val="000000"/>
                <w:sz w:val="20"/>
                <w:szCs w:val="20"/>
              </w:rPr>
            </w:pPr>
            <w:r w:rsidRPr="00B35A85">
              <w:rPr>
                <w:rFonts w:ascii="Times New Roman" w:eastAsia="Times New Roman" w:hAnsi="Times New Roman" w:cs="Times New Roman"/>
                <w:color w:val="000000"/>
                <w:sz w:val="20"/>
                <w:szCs w:val="20"/>
              </w:rPr>
              <w:t>Introductory Biology</w:t>
            </w:r>
          </w:p>
        </w:tc>
        <w:tc>
          <w:tcPr>
            <w:tcW w:w="1170" w:type="dxa"/>
            <w:tcBorders>
              <w:top w:val="nil"/>
              <w:left w:val="nil"/>
              <w:bottom w:val="nil"/>
              <w:right w:val="nil"/>
            </w:tcBorders>
            <w:noWrap/>
            <w:hideMark/>
          </w:tcPr>
          <w:p w14:paraId="1A57EF85" w14:textId="77777777" w:rsidR="00226BC6" w:rsidRPr="00B35A85" w:rsidRDefault="00226BC6" w:rsidP="00995D85">
            <w:pPr>
              <w:jc w:val="right"/>
              <w:rPr>
                <w:rFonts w:ascii="Times New Roman" w:eastAsia="Times New Roman" w:hAnsi="Times New Roman" w:cs="Times New Roman"/>
                <w:color w:val="000000"/>
                <w:sz w:val="20"/>
                <w:szCs w:val="20"/>
              </w:rPr>
            </w:pPr>
            <w:r w:rsidRPr="00B35A85">
              <w:rPr>
                <w:rFonts w:ascii="Times New Roman" w:eastAsia="Times New Roman" w:hAnsi="Times New Roman" w:cs="Times New Roman"/>
                <w:color w:val="000000"/>
                <w:sz w:val="20"/>
                <w:szCs w:val="20"/>
              </w:rPr>
              <w:t>0.</w:t>
            </w:r>
            <w:r w:rsidR="00995D85">
              <w:rPr>
                <w:rFonts w:ascii="Times New Roman" w:eastAsia="Times New Roman" w:hAnsi="Times New Roman" w:cs="Times New Roman"/>
                <w:color w:val="000000"/>
                <w:sz w:val="20"/>
                <w:szCs w:val="20"/>
              </w:rPr>
              <w:t>194</w:t>
            </w:r>
          </w:p>
        </w:tc>
        <w:tc>
          <w:tcPr>
            <w:tcW w:w="1260" w:type="dxa"/>
            <w:tcBorders>
              <w:top w:val="nil"/>
              <w:left w:val="nil"/>
              <w:bottom w:val="nil"/>
              <w:right w:val="nil"/>
            </w:tcBorders>
            <w:noWrap/>
            <w:hideMark/>
          </w:tcPr>
          <w:p w14:paraId="3A8C93D0" w14:textId="77777777" w:rsidR="00226BC6" w:rsidRPr="00B35A85" w:rsidRDefault="00226BC6" w:rsidP="00226BC6">
            <w:pPr>
              <w:jc w:val="right"/>
              <w:rPr>
                <w:rFonts w:ascii="Times New Roman" w:eastAsia="Times New Roman" w:hAnsi="Times New Roman" w:cs="Times New Roman"/>
                <w:color w:val="000000"/>
                <w:sz w:val="20"/>
                <w:szCs w:val="20"/>
              </w:rPr>
            </w:pPr>
            <w:r w:rsidRPr="00B35A85">
              <w:rPr>
                <w:rFonts w:ascii="Times New Roman" w:eastAsia="Times New Roman" w:hAnsi="Times New Roman" w:cs="Times New Roman"/>
                <w:color w:val="000000"/>
                <w:sz w:val="20"/>
                <w:szCs w:val="20"/>
              </w:rPr>
              <w:t>0</w:t>
            </w:r>
            <w:r w:rsidR="00995D85">
              <w:rPr>
                <w:rFonts w:ascii="Times New Roman" w:eastAsia="Times New Roman" w:hAnsi="Times New Roman" w:cs="Times New Roman"/>
                <w:color w:val="000000"/>
                <w:sz w:val="20"/>
                <w:szCs w:val="20"/>
              </w:rPr>
              <w:t>.28</w:t>
            </w:r>
            <w:r w:rsidRPr="00B35A85">
              <w:rPr>
                <w:rFonts w:ascii="Times New Roman" w:eastAsia="Times New Roman" w:hAnsi="Times New Roman" w:cs="Times New Roman"/>
                <w:color w:val="000000"/>
                <w:sz w:val="20"/>
                <w:szCs w:val="20"/>
              </w:rPr>
              <w:t>8</w:t>
            </w:r>
          </w:p>
        </w:tc>
        <w:tc>
          <w:tcPr>
            <w:tcW w:w="1350" w:type="dxa"/>
            <w:tcBorders>
              <w:top w:val="nil"/>
              <w:left w:val="nil"/>
              <w:bottom w:val="nil"/>
              <w:right w:val="nil"/>
            </w:tcBorders>
            <w:noWrap/>
            <w:hideMark/>
          </w:tcPr>
          <w:p w14:paraId="3E0F6BE1" w14:textId="77777777" w:rsidR="00226BC6" w:rsidRPr="00B35A85" w:rsidRDefault="00995D85" w:rsidP="00226BC6">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0.060</w:t>
            </w:r>
          </w:p>
        </w:tc>
      </w:tr>
      <w:tr w:rsidR="00226BC6" w:rsidRPr="00B35A85" w14:paraId="65FBCF21" w14:textId="77777777" w:rsidTr="00226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1075" w:type="dxa"/>
            <w:tcBorders>
              <w:top w:val="nil"/>
              <w:left w:val="nil"/>
              <w:bottom w:val="nil"/>
              <w:right w:val="nil"/>
            </w:tcBorders>
            <w:noWrap/>
            <w:hideMark/>
          </w:tcPr>
          <w:p w14:paraId="52E4CF82" w14:textId="77777777" w:rsidR="00226BC6" w:rsidRPr="00B35A85" w:rsidRDefault="00226BC6" w:rsidP="00226BC6">
            <w:pPr>
              <w:jc w:val="right"/>
              <w:rPr>
                <w:rFonts w:ascii="Times New Roman" w:eastAsia="Times New Roman" w:hAnsi="Times New Roman" w:cs="Times New Roman"/>
                <w:color w:val="000000"/>
                <w:sz w:val="20"/>
                <w:szCs w:val="20"/>
              </w:rPr>
            </w:pPr>
          </w:p>
        </w:tc>
        <w:tc>
          <w:tcPr>
            <w:tcW w:w="2250" w:type="dxa"/>
            <w:tcBorders>
              <w:top w:val="nil"/>
              <w:left w:val="nil"/>
              <w:bottom w:val="nil"/>
              <w:right w:val="nil"/>
            </w:tcBorders>
            <w:noWrap/>
            <w:hideMark/>
          </w:tcPr>
          <w:p w14:paraId="2EF9A058" w14:textId="77777777" w:rsidR="00226BC6" w:rsidRPr="00B35A85" w:rsidRDefault="00226BC6" w:rsidP="00226BC6">
            <w:pPr>
              <w:jc w:val="right"/>
              <w:rPr>
                <w:rFonts w:ascii="Times New Roman" w:eastAsia="Times New Roman" w:hAnsi="Times New Roman" w:cs="Times New Roman"/>
                <w:color w:val="000000"/>
                <w:sz w:val="20"/>
                <w:szCs w:val="20"/>
              </w:rPr>
            </w:pPr>
            <w:r w:rsidRPr="00B35A85">
              <w:rPr>
                <w:rFonts w:ascii="Times New Roman" w:eastAsia="Times New Roman" w:hAnsi="Times New Roman" w:cs="Times New Roman"/>
                <w:color w:val="000000"/>
                <w:sz w:val="20"/>
                <w:szCs w:val="20"/>
              </w:rPr>
              <w:t>Applied Biology</w:t>
            </w:r>
            <w:r w:rsidR="00995D85">
              <w:rPr>
                <w:rFonts w:ascii="Times New Roman" w:eastAsia="Times New Roman" w:hAnsi="Times New Roman" w:cs="Times New Roman"/>
                <w:color w:val="000000"/>
                <w:sz w:val="20"/>
                <w:szCs w:val="20"/>
              </w:rPr>
              <w:t xml:space="preserve"> I</w:t>
            </w:r>
          </w:p>
        </w:tc>
        <w:tc>
          <w:tcPr>
            <w:tcW w:w="1170" w:type="dxa"/>
            <w:tcBorders>
              <w:top w:val="nil"/>
              <w:left w:val="nil"/>
              <w:bottom w:val="nil"/>
              <w:right w:val="nil"/>
            </w:tcBorders>
            <w:noWrap/>
            <w:hideMark/>
          </w:tcPr>
          <w:p w14:paraId="39891BF2" w14:textId="77777777" w:rsidR="00226BC6" w:rsidRPr="00B35A85" w:rsidRDefault="00995D85" w:rsidP="00226BC6">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0.152</w:t>
            </w:r>
          </w:p>
        </w:tc>
        <w:tc>
          <w:tcPr>
            <w:tcW w:w="1260" w:type="dxa"/>
            <w:tcBorders>
              <w:top w:val="nil"/>
              <w:left w:val="nil"/>
              <w:bottom w:val="nil"/>
              <w:right w:val="nil"/>
            </w:tcBorders>
            <w:noWrap/>
            <w:hideMark/>
          </w:tcPr>
          <w:p w14:paraId="5C01F3CC" w14:textId="77777777" w:rsidR="00226BC6" w:rsidRPr="00B35A85" w:rsidRDefault="00995D85" w:rsidP="00226BC6">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0.342</w:t>
            </w:r>
          </w:p>
        </w:tc>
        <w:tc>
          <w:tcPr>
            <w:tcW w:w="1350" w:type="dxa"/>
            <w:tcBorders>
              <w:top w:val="nil"/>
              <w:left w:val="nil"/>
              <w:bottom w:val="nil"/>
              <w:right w:val="nil"/>
            </w:tcBorders>
            <w:noWrap/>
            <w:hideMark/>
          </w:tcPr>
          <w:p w14:paraId="51F2ADA1" w14:textId="77777777" w:rsidR="00226BC6" w:rsidRPr="00B35A85" w:rsidRDefault="00995D85" w:rsidP="00226BC6">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0.102</w:t>
            </w:r>
          </w:p>
        </w:tc>
      </w:tr>
      <w:tr w:rsidR="00226BC6" w:rsidRPr="00B35A85" w14:paraId="0B3BC2AC" w14:textId="77777777" w:rsidTr="00226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1075" w:type="dxa"/>
            <w:tcBorders>
              <w:top w:val="nil"/>
              <w:left w:val="nil"/>
              <w:bottom w:val="nil"/>
              <w:right w:val="nil"/>
            </w:tcBorders>
            <w:noWrap/>
            <w:hideMark/>
          </w:tcPr>
          <w:p w14:paraId="0846166F" w14:textId="77777777" w:rsidR="00226BC6" w:rsidRPr="00B35A85" w:rsidRDefault="00226BC6" w:rsidP="00226BC6">
            <w:pPr>
              <w:jc w:val="right"/>
              <w:rPr>
                <w:rFonts w:ascii="Times New Roman" w:eastAsia="Times New Roman" w:hAnsi="Times New Roman" w:cs="Times New Roman"/>
                <w:color w:val="000000"/>
                <w:sz w:val="20"/>
                <w:szCs w:val="20"/>
              </w:rPr>
            </w:pPr>
          </w:p>
        </w:tc>
        <w:tc>
          <w:tcPr>
            <w:tcW w:w="2250" w:type="dxa"/>
            <w:tcBorders>
              <w:top w:val="nil"/>
              <w:left w:val="nil"/>
              <w:bottom w:val="nil"/>
              <w:right w:val="nil"/>
            </w:tcBorders>
            <w:noWrap/>
            <w:hideMark/>
          </w:tcPr>
          <w:p w14:paraId="03D753F4" w14:textId="77777777" w:rsidR="00226BC6" w:rsidRPr="00B35A85" w:rsidRDefault="00226BC6" w:rsidP="00226BC6">
            <w:pPr>
              <w:jc w:val="right"/>
              <w:rPr>
                <w:rFonts w:ascii="Times New Roman" w:eastAsia="Times New Roman" w:hAnsi="Times New Roman" w:cs="Times New Roman"/>
                <w:color w:val="000000"/>
                <w:sz w:val="20"/>
                <w:szCs w:val="20"/>
              </w:rPr>
            </w:pPr>
            <w:r w:rsidRPr="00B35A85">
              <w:rPr>
                <w:rFonts w:ascii="Times New Roman" w:eastAsia="Times New Roman" w:hAnsi="Times New Roman" w:cs="Times New Roman"/>
                <w:color w:val="000000"/>
                <w:sz w:val="20"/>
                <w:szCs w:val="20"/>
              </w:rPr>
              <w:t>General Biology I</w:t>
            </w:r>
          </w:p>
        </w:tc>
        <w:tc>
          <w:tcPr>
            <w:tcW w:w="1170" w:type="dxa"/>
            <w:tcBorders>
              <w:top w:val="nil"/>
              <w:left w:val="nil"/>
              <w:bottom w:val="nil"/>
              <w:right w:val="nil"/>
            </w:tcBorders>
            <w:noWrap/>
            <w:hideMark/>
          </w:tcPr>
          <w:p w14:paraId="76BC70E2" w14:textId="77777777" w:rsidR="00226BC6" w:rsidRPr="00B35A85" w:rsidRDefault="00995D85" w:rsidP="00226BC6">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0.636</w:t>
            </w:r>
          </w:p>
        </w:tc>
        <w:tc>
          <w:tcPr>
            <w:tcW w:w="1260" w:type="dxa"/>
            <w:tcBorders>
              <w:top w:val="nil"/>
              <w:left w:val="nil"/>
              <w:bottom w:val="nil"/>
              <w:right w:val="nil"/>
            </w:tcBorders>
            <w:noWrap/>
            <w:hideMark/>
          </w:tcPr>
          <w:p w14:paraId="3643859D" w14:textId="77777777" w:rsidR="00226BC6" w:rsidRPr="00B35A85" w:rsidRDefault="00226BC6" w:rsidP="00226BC6">
            <w:pPr>
              <w:jc w:val="right"/>
              <w:rPr>
                <w:rFonts w:ascii="Times New Roman" w:eastAsia="Times New Roman" w:hAnsi="Times New Roman" w:cs="Times New Roman"/>
                <w:color w:val="000000"/>
                <w:sz w:val="20"/>
                <w:szCs w:val="20"/>
              </w:rPr>
            </w:pPr>
            <w:r w:rsidRPr="00B35A85">
              <w:rPr>
                <w:rFonts w:ascii="Times New Roman" w:eastAsia="Times New Roman" w:hAnsi="Times New Roman" w:cs="Times New Roman"/>
                <w:color w:val="000000"/>
                <w:sz w:val="20"/>
                <w:szCs w:val="20"/>
              </w:rPr>
              <w:t>1.000</w:t>
            </w:r>
          </w:p>
        </w:tc>
        <w:tc>
          <w:tcPr>
            <w:tcW w:w="1350" w:type="dxa"/>
            <w:tcBorders>
              <w:top w:val="nil"/>
              <w:left w:val="nil"/>
              <w:bottom w:val="nil"/>
              <w:right w:val="nil"/>
            </w:tcBorders>
            <w:noWrap/>
            <w:hideMark/>
          </w:tcPr>
          <w:p w14:paraId="5769A715" w14:textId="77777777" w:rsidR="00226BC6" w:rsidRPr="00B35A85" w:rsidRDefault="00995D85" w:rsidP="00226BC6">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0.429</w:t>
            </w:r>
          </w:p>
        </w:tc>
      </w:tr>
      <w:tr w:rsidR="00226BC6" w:rsidRPr="00B35A85" w14:paraId="3AB45FAC" w14:textId="77777777" w:rsidTr="00226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1075" w:type="dxa"/>
            <w:tcBorders>
              <w:top w:val="nil"/>
              <w:left w:val="nil"/>
              <w:bottom w:val="single" w:sz="4" w:space="0" w:color="auto"/>
              <w:right w:val="nil"/>
            </w:tcBorders>
            <w:noWrap/>
            <w:hideMark/>
          </w:tcPr>
          <w:p w14:paraId="0EA8057F" w14:textId="77777777" w:rsidR="00226BC6" w:rsidRPr="00B35A85" w:rsidRDefault="00226BC6" w:rsidP="00226BC6">
            <w:pPr>
              <w:jc w:val="center"/>
              <w:rPr>
                <w:rFonts w:ascii="Times New Roman" w:eastAsia="Times New Roman" w:hAnsi="Times New Roman" w:cs="Times New Roman"/>
                <w:color w:val="000000"/>
                <w:sz w:val="20"/>
                <w:szCs w:val="20"/>
              </w:rPr>
            </w:pPr>
          </w:p>
        </w:tc>
        <w:tc>
          <w:tcPr>
            <w:tcW w:w="2250" w:type="dxa"/>
            <w:tcBorders>
              <w:top w:val="nil"/>
              <w:left w:val="nil"/>
              <w:bottom w:val="single" w:sz="4" w:space="0" w:color="auto"/>
              <w:right w:val="nil"/>
            </w:tcBorders>
            <w:noWrap/>
            <w:hideMark/>
          </w:tcPr>
          <w:p w14:paraId="5EE797C6" w14:textId="77777777" w:rsidR="00226BC6" w:rsidRPr="00B35A85" w:rsidRDefault="00226BC6" w:rsidP="00226BC6">
            <w:pPr>
              <w:jc w:val="right"/>
              <w:rPr>
                <w:rFonts w:ascii="Times New Roman" w:eastAsia="Times New Roman" w:hAnsi="Times New Roman" w:cs="Times New Roman"/>
                <w:color w:val="000000"/>
                <w:sz w:val="20"/>
                <w:szCs w:val="20"/>
              </w:rPr>
            </w:pPr>
            <w:r w:rsidRPr="00B35A85">
              <w:rPr>
                <w:rFonts w:ascii="Times New Roman" w:eastAsia="Times New Roman" w:hAnsi="Times New Roman" w:cs="Times New Roman"/>
                <w:color w:val="000000"/>
                <w:sz w:val="20"/>
                <w:szCs w:val="20"/>
              </w:rPr>
              <w:t>General Biology II</w:t>
            </w:r>
          </w:p>
        </w:tc>
        <w:tc>
          <w:tcPr>
            <w:tcW w:w="1170" w:type="dxa"/>
            <w:tcBorders>
              <w:top w:val="nil"/>
              <w:left w:val="nil"/>
              <w:bottom w:val="single" w:sz="4" w:space="0" w:color="auto"/>
              <w:right w:val="nil"/>
            </w:tcBorders>
            <w:noWrap/>
            <w:hideMark/>
          </w:tcPr>
          <w:p w14:paraId="75B6816F" w14:textId="77777777" w:rsidR="00226BC6" w:rsidRPr="00B35A85" w:rsidRDefault="00995D85" w:rsidP="00226BC6">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0.008</w:t>
            </w:r>
          </w:p>
        </w:tc>
        <w:tc>
          <w:tcPr>
            <w:tcW w:w="1260" w:type="dxa"/>
            <w:tcBorders>
              <w:top w:val="nil"/>
              <w:left w:val="nil"/>
              <w:bottom w:val="single" w:sz="4" w:space="0" w:color="auto"/>
              <w:right w:val="nil"/>
            </w:tcBorders>
            <w:noWrap/>
            <w:hideMark/>
          </w:tcPr>
          <w:p w14:paraId="75907ED9" w14:textId="77777777" w:rsidR="00226BC6" w:rsidRPr="00B35A85" w:rsidRDefault="00995D85" w:rsidP="00226BC6">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0.406</w:t>
            </w:r>
          </w:p>
        </w:tc>
        <w:tc>
          <w:tcPr>
            <w:tcW w:w="1350" w:type="dxa"/>
            <w:tcBorders>
              <w:top w:val="nil"/>
              <w:left w:val="nil"/>
              <w:bottom w:val="single" w:sz="4" w:space="0" w:color="auto"/>
              <w:right w:val="nil"/>
            </w:tcBorders>
            <w:noWrap/>
            <w:hideMark/>
          </w:tcPr>
          <w:p w14:paraId="435F5107" w14:textId="77777777" w:rsidR="00226BC6" w:rsidRPr="00B35A85" w:rsidRDefault="00995D85" w:rsidP="00226BC6">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0.272</w:t>
            </w:r>
          </w:p>
        </w:tc>
      </w:tr>
    </w:tbl>
    <w:p w14:paraId="34C71311" w14:textId="77777777" w:rsidR="00226BC6" w:rsidRDefault="00226BC6" w:rsidP="00226BC6">
      <w:pPr>
        <w:rPr>
          <w:rFonts w:ascii="Times New Roman" w:hAnsi="Times New Roman" w:cs="Times New Roman"/>
          <w:sz w:val="24"/>
        </w:rPr>
      </w:pPr>
    </w:p>
    <w:p w14:paraId="543334E3" w14:textId="77777777" w:rsidR="00226BC6" w:rsidRDefault="00226BC6" w:rsidP="00226BC6">
      <w:pPr>
        <w:rPr>
          <w:rFonts w:ascii="Times New Roman" w:hAnsi="Times New Roman" w:cs="Times New Roman"/>
          <w:sz w:val="24"/>
        </w:rPr>
      </w:pPr>
    </w:p>
    <w:p w14:paraId="4B80CDC4" w14:textId="77777777" w:rsidR="00226BC6" w:rsidRDefault="00226BC6" w:rsidP="00226BC6">
      <w:pPr>
        <w:rPr>
          <w:rFonts w:ascii="Times New Roman" w:hAnsi="Times New Roman" w:cs="Times New Roman"/>
          <w:sz w:val="24"/>
        </w:rPr>
      </w:pPr>
    </w:p>
    <w:p w14:paraId="2762C839" w14:textId="77777777" w:rsidR="00226BC6" w:rsidRDefault="00226BC6" w:rsidP="00226BC6">
      <w:pPr>
        <w:rPr>
          <w:rFonts w:ascii="Times New Roman" w:hAnsi="Times New Roman" w:cs="Times New Roman"/>
          <w:sz w:val="24"/>
        </w:rPr>
      </w:pPr>
    </w:p>
    <w:p w14:paraId="13A7FB64" w14:textId="77777777" w:rsidR="00226BC6" w:rsidRDefault="00226BC6" w:rsidP="00226BC6">
      <w:pPr>
        <w:rPr>
          <w:rFonts w:ascii="Times New Roman" w:hAnsi="Times New Roman" w:cs="Times New Roman"/>
          <w:sz w:val="24"/>
        </w:rPr>
      </w:pPr>
    </w:p>
    <w:p w14:paraId="2E63E626" w14:textId="77777777" w:rsidR="00226BC6" w:rsidRDefault="00226BC6" w:rsidP="00226BC6">
      <w:pPr>
        <w:rPr>
          <w:rFonts w:ascii="Times New Roman" w:hAnsi="Times New Roman" w:cs="Times New Roman"/>
          <w:sz w:val="24"/>
        </w:rPr>
      </w:pPr>
    </w:p>
    <w:p w14:paraId="498109D5" w14:textId="77777777" w:rsidR="00226BC6" w:rsidRDefault="00226BC6" w:rsidP="00226BC6">
      <w:pPr>
        <w:rPr>
          <w:rFonts w:ascii="Times New Roman" w:hAnsi="Times New Roman" w:cs="Times New Roman"/>
          <w:sz w:val="24"/>
        </w:rPr>
      </w:pPr>
    </w:p>
    <w:p w14:paraId="76631BE6" w14:textId="77777777" w:rsidR="00226BC6" w:rsidRDefault="00226BC6" w:rsidP="00226BC6">
      <w:pPr>
        <w:rPr>
          <w:rFonts w:ascii="Times New Roman" w:hAnsi="Times New Roman" w:cs="Times New Roman"/>
          <w:sz w:val="24"/>
        </w:rPr>
      </w:pPr>
    </w:p>
    <w:p w14:paraId="5332397E" w14:textId="77777777" w:rsidR="00226BC6" w:rsidRDefault="00226BC6" w:rsidP="00226BC6">
      <w:pPr>
        <w:rPr>
          <w:rFonts w:ascii="Times New Roman" w:hAnsi="Times New Roman" w:cs="Times New Roman"/>
          <w:sz w:val="24"/>
        </w:rPr>
      </w:pPr>
    </w:p>
    <w:p w14:paraId="48D48930" w14:textId="77777777" w:rsidR="001332D4" w:rsidRDefault="001332D4">
      <w:pPr>
        <w:rPr>
          <w:rFonts w:ascii="Times New Roman" w:hAnsi="Times New Roman" w:cs="Times New Roman"/>
          <w:sz w:val="24"/>
        </w:rPr>
      </w:pPr>
      <w:r>
        <w:rPr>
          <w:rFonts w:ascii="Times New Roman" w:hAnsi="Times New Roman" w:cs="Times New Roman"/>
          <w:sz w:val="24"/>
        </w:rPr>
        <w:br w:type="page"/>
      </w:r>
    </w:p>
    <w:p w14:paraId="1C9FDE4A" w14:textId="77777777" w:rsidR="00226BC6" w:rsidRDefault="0028408E" w:rsidP="00226BC6">
      <w:pPr>
        <w:rPr>
          <w:rFonts w:ascii="Times New Roman" w:hAnsi="Times New Roman" w:cs="Times New Roman"/>
          <w:sz w:val="24"/>
        </w:rPr>
      </w:pPr>
      <w:r>
        <w:rPr>
          <w:rFonts w:ascii="Times New Roman" w:hAnsi="Times New Roman" w:cs="Times New Roman"/>
          <w:sz w:val="24"/>
        </w:rPr>
        <w:lastRenderedPageBreak/>
        <w:t>T</w:t>
      </w:r>
      <w:r w:rsidR="00226BC6">
        <w:rPr>
          <w:rFonts w:ascii="Times New Roman" w:hAnsi="Times New Roman" w:cs="Times New Roman"/>
          <w:sz w:val="24"/>
        </w:rPr>
        <w:t>ABLE 4</w:t>
      </w:r>
      <w:r w:rsidR="00226BC6" w:rsidRPr="00B35A85">
        <w:rPr>
          <w:rFonts w:ascii="Times New Roman" w:hAnsi="Times New Roman" w:cs="Times New Roman"/>
          <w:sz w:val="24"/>
        </w:rPr>
        <w:t xml:space="preserve">: Course-taking of students who </w:t>
      </w:r>
      <w:r w:rsidR="007D794A">
        <w:rPr>
          <w:rFonts w:ascii="Times New Roman" w:hAnsi="Times New Roman" w:cs="Times New Roman"/>
          <w:sz w:val="24"/>
        </w:rPr>
        <w:t>enroll in the</w:t>
      </w:r>
      <w:r w:rsidR="00226BC6" w:rsidRPr="00B35A85">
        <w:rPr>
          <w:rFonts w:ascii="Times New Roman" w:hAnsi="Times New Roman" w:cs="Times New Roman"/>
          <w:sz w:val="24"/>
        </w:rPr>
        <w:t xml:space="preserve"> </w:t>
      </w:r>
      <w:r w:rsidR="00226BC6">
        <w:rPr>
          <w:rFonts w:ascii="Times New Roman" w:hAnsi="Times New Roman" w:cs="Times New Roman"/>
          <w:sz w:val="24"/>
        </w:rPr>
        <w:t>Calculus I</w:t>
      </w:r>
      <w:r w:rsidR="00226BC6" w:rsidRPr="00B35A85">
        <w:rPr>
          <w:rFonts w:ascii="Times New Roman" w:hAnsi="Times New Roman" w:cs="Times New Roman"/>
          <w:sz w:val="24"/>
        </w:rPr>
        <w:t xml:space="preserve"> and </w:t>
      </w:r>
      <w:r w:rsidR="00226BC6">
        <w:rPr>
          <w:rFonts w:ascii="Times New Roman" w:hAnsi="Times New Roman" w:cs="Times New Roman"/>
          <w:sz w:val="24"/>
        </w:rPr>
        <w:t>Introduction to Computer Science</w:t>
      </w:r>
      <w:r w:rsidR="00226BC6" w:rsidRPr="00B35A85">
        <w:rPr>
          <w:rFonts w:ascii="Times New Roman" w:hAnsi="Times New Roman" w:cs="Times New Roman"/>
          <w:sz w:val="24"/>
        </w:rPr>
        <w:t xml:space="preserve"> interdi</w:t>
      </w:r>
      <w:r w:rsidR="00226BC6">
        <w:rPr>
          <w:rFonts w:ascii="Times New Roman" w:hAnsi="Times New Roman" w:cs="Times New Roman"/>
          <w:sz w:val="24"/>
        </w:rPr>
        <w:t>sciplinary course pair (N=27,009</w:t>
      </w:r>
      <w:r w:rsidR="00226BC6" w:rsidRPr="00B35A85">
        <w:rPr>
          <w:rFonts w:ascii="Times New Roman" w:hAnsi="Times New Roman" w:cs="Times New Roman"/>
          <w:sz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6"/>
        <w:gridCol w:w="3474"/>
        <w:gridCol w:w="666"/>
        <w:gridCol w:w="1260"/>
        <w:gridCol w:w="1350"/>
      </w:tblGrid>
      <w:tr w:rsidR="00226BC6" w:rsidRPr="00B35A85" w14:paraId="01B36C24" w14:textId="77777777" w:rsidTr="00226BC6">
        <w:trPr>
          <w:trHeight w:val="252"/>
        </w:trPr>
        <w:tc>
          <w:tcPr>
            <w:tcW w:w="1116" w:type="dxa"/>
            <w:tcBorders>
              <w:top w:val="single" w:sz="4" w:space="0" w:color="auto"/>
              <w:bottom w:val="single" w:sz="4" w:space="0" w:color="auto"/>
            </w:tcBorders>
            <w:noWrap/>
            <w:hideMark/>
          </w:tcPr>
          <w:p w14:paraId="3C1F8D48" w14:textId="77777777" w:rsidR="00226BC6" w:rsidRPr="00B35A85" w:rsidRDefault="00226BC6" w:rsidP="00226BC6">
            <w:pPr>
              <w:rPr>
                <w:rFonts w:ascii="Times New Roman" w:eastAsia="Times New Roman" w:hAnsi="Times New Roman" w:cs="Times New Roman"/>
                <w:b/>
                <w:sz w:val="20"/>
                <w:szCs w:val="20"/>
              </w:rPr>
            </w:pPr>
            <w:r w:rsidRPr="00B35A85">
              <w:rPr>
                <w:rFonts w:ascii="Times New Roman" w:eastAsia="Times New Roman" w:hAnsi="Times New Roman" w:cs="Times New Roman"/>
                <w:b/>
                <w:sz w:val="20"/>
                <w:szCs w:val="20"/>
              </w:rPr>
              <w:t>Subject</w:t>
            </w:r>
          </w:p>
        </w:tc>
        <w:tc>
          <w:tcPr>
            <w:tcW w:w="3474" w:type="dxa"/>
            <w:tcBorders>
              <w:top w:val="single" w:sz="4" w:space="0" w:color="auto"/>
              <w:bottom w:val="single" w:sz="4" w:space="0" w:color="auto"/>
            </w:tcBorders>
            <w:noWrap/>
            <w:hideMark/>
          </w:tcPr>
          <w:p w14:paraId="217BD92D" w14:textId="77777777" w:rsidR="00226BC6" w:rsidRPr="00B35A85" w:rsidRDefault="00226BC6" w:rsidP="00226BC6">
            <w:pPr>
              <w:jc w:val="center"/>
              <w:rPr>
                <w:rFonts w:ascii="Times New Roman" w:eastAsia="Times New Roman" w:hAnsi="Times New Roman" w:cs="Times New Roman"/>
                <w:b/>
                <w:sz w:val="20"/>
                <w:szCs w:val="20"/>
              </w:rPr>
            </w:pPr>
            <w:r w:rsidRPr="00B35A85">
              <w:rPr>
                <w:rFonts w:ascii="Times New Roman" w:eastAsia="Times New Roman" w:hAnsi="Times New Roman" w:cs="Times New Roman"/>
                <w:b/>
                <w:sz w:val="20"/>
                <w:szCs w:val="20"/>
              </w:rPr>
              <w:t>Course</w:t>
            </w:r>
          </w:p>
        </w:tc>
        <w:tc>
          <w:tcPr>
            <w:tcW w:w="666" w:type="dxa"/>
            <w:tcBorders>
              <w:top w:val="single" w:sz="4" w:space="0" w:color="auto"/>
              <w:bottom w:val="single" w:sz="4" w:space="0" w:color="auto"/>
            </w:tcBorders>
            <w:noWrap/>
            <w:hideMark/>
          </w:tcPr>
          <w:p w14:paraId="27475AE8" w14:textId="77777777" w:rsidR="00226BC6" w:rsidRPr="00B35A85" w:rsidRDefault="00226BC6" w:rsidP="00226BC6">
            <w:pPr>
              <w:jc w:val="center"/>
              <w:rPr>
                <w:rFonts w:ascii="Times New Roman" w:eastAsia="Times New Roman" w:hAnsi="Times New Roman" w:cs="Times New Roman"/>
                <w:b/>
                <w:sz w:val="20"/>
                <w:szCs w:val="20"/>
              </w:rPr>
            </w:pPr>
            <w:r w:rsidRPr="00B35A85">
              <w:rPr>
                <w:rFonts w:ascii="Times New Roman" w:eastAsia="Times New Roman" w:hAnsi="Times New Roman" w:cs="Times New Roman"/>
                <w:b/>
                <w:sz w:val="20"/>
                <w:szCs w:val="20"/>
              </w:rPr>
              <w:t>Start</w:t>
            </w:r>
          </w:p>
        </w:tc>
        <w:tc>
          <w:tcPr>
            <w:tcW w:w="1260" w:type="dxa"/>
            <w:tcBorders>
              <w:top w:val="single" w:sz="4" w:space="0" w:color="auto"/>
              <w:bottom w:val="single" w:sz="4" w:space="0" w:color="auto"/>
            </w:tcBorders>
            <w:noWrap/>
            <w:hideMark/>
          </w:tcPr>
          <w:p w14:paraId="77773BA9" w14:textId="77777777" w:rsidR="00226BC6" w:rsidRPr="00B35A85" w:rsidRDefault="00226BC6" w:rsidP="00226BC6">
            <w:pPr>
              <w:jc w:val="center"/>
              <w:rPr>
                <w:rFonts w:ascii="Times New Roman" w:eastAsia="Times New Roman" w:hAnsi="Times New Roman" w:cs="Times New Roman"/>
                <w:b/>
                <w:sz w:val="20"/>
                <w:szCs w:val="20"/>
              </w:rPr>
            </w:pPr>
            <w:r w:rsidRPr="00B35A85">
              <w:rPr>
                <w:rFonts w:ascii="Times New Roman" w:eastAsia="Times New Roman" w:hAnsi="Times New Roman" w:cs="Times New Roman"/>
                <w:b/>
                <w:sz w:val="20"/>
                <w:szCs w:val="20"/>
              </w:rPr>
              <w:t>Ever Enroll</w:t>
            </w:r>
          </w:p>
        </w:tc>
        <w:tc>
          <w:tcPr>
            <w:tcW w:w="1350" w:type="dxa"/>
            <w:tcBorders>
              <w:top w:val="single" w:sz="4" w:space="0" w:color="auto"/>
              <w:bottom w:val="single" w:sz="4" w:space="0" w:color="auto"/>
            </w:tcBorders>
            <w:noWrap/>
            <w:hideMark/>
          </w:tcPr>
          <w:p w14:paraId="3438CA3E" w14:textId="77777777" w:rsidR="00226BC6" w:rsidRPr="00B35A85" w:rsidRDefault="00226BC6" w:rsidP="00226BC6">
            <w:pPr>
              <w:jc w:val="center"/>
              <w:rPr>
                <w:rFonts w:ascii="Times New Roman" w:eastAsia="Times New Roman" w:hAnsi="Times New Roman" w:cs="Times New Roman"/>
                <w:b/>
                <w:sz w:val="20"/>
                <w:szCs w:val="20"/>
              </w:rPr>
            </w:pPr>
            <w:r w:rsidRPr="00B35A85">
              <w:rPr>
                <w:rFonts w:ascii="Times New Roman" w:eastAsia="Times New Roman" w:hAnsi="Times New Roman" w:cs="Times New Roman"/>
                <w:b/>
                <w:sz w:val="20"/>
                <w:szCs w:val="20"/>
              </w:rPr>
              <w:t>Final Enroll</w:t>
            </w:r>
          </w:p>
        </w:tc>
      </w:tr>
      <w:tr w:rsidR="00226BC6" w:rsidRPr="00B35A85" w14:paraId="4F6FA7D0" w14:textId="77777777" w:rsidTr="00226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1116" w:type="dxa"/>
            <w:tcBorders>
              <w:top w:val="single" w:sz="4" w:space="0" w:color="auto"/>
              <w:left w:val="nil"/>
              <w:bottom w:val="nil"/>
              <w:right w:val="nil"/>
            </w:tcBorders>
            <w:noWrap/>
            <w:vAlign w:val="bottom"/>
            <w:hideMark/>
          </w:tcPr>
          <w:p w14:paraId="5B485CB8" w14:textId="77777777" w:rsidR="00226BC6" w:rsidRPr="00B35A85" w:rsidRDefault="00226BC6" w:rsidP="00226BC6">
            <w:pPr>
              <w:rPr>
                <w:rFonts w:ascii="Times New Roman" w:hAnsi="Times New Roman" w:cs="Times New Roman"/>
                <w:b/>
                <w:color w:val="000000"/>
                <w:sz w:val="20"/>
                <w:szCs w:val="20"/>
              </w:rPr>
            </w:pPr>
            <w:r w:rsidRPr="00B35A85">
              <w:rPr>
                <w:rFonts w:ascii="Times New Roman" w:hAnsi="Times New Roman" w:cs="Times New Roman"/>
                <w:b/>
                <w:color w:val="000000"/>
                <w:sz w:val="20"/>
                <w:szCs w:val="20"/>
              </w:rPr>
              <w:t>Math</w:t>
            </w:r>
          </w:p>
        </w:tc>
        <w:tc>
          <w:tcPr>
            <w:tcW w:w="3474" w:type="dxa"/>
            <w:tcBorders>
              <w:top w:val="single" w:sz="4" w:space="0" w:color="auto"/>
              <w:left w:val="nil"/>
              <w:bottom w:val="nil"/>
              <w:right w:val="nil"/>
            </w:tcBorders>
            <w:noWrap/>
            <w:vAlign w:val="bottom"/>
            <w:hideMark/>
          </w:tcPr>
          <w:p w14:paraId="0219EF2B" w14:textId="77777777" w:rsidR="00226BC6" w:rsidRPr="00B35A85" w:rsidRDefault="00226BC6" w:rsidP="00226BC6">
            <w:pPr>
              <w:jc w:val="right"/>
              <w:rPr>
                <w:rFonts w:ascii="Times New Roman" w:hAnsi="Times New Roman" w:cs="Times New Roman"/>
                <w:color w:val="000000"/>
                <w:sz w:val="20"/>
                <w:szCs w:val="20"/>
              </w:rPr>
            </w:pPr>
            <w:r w:rsidRPr="00B35A85">
              <w:rPr>
                <w:rFonts w:ascii="Times New Roman" w:hAnsi="Times New Roman" w:cs="Times New Roman"/>
                <w:color w:val="000000"/>
                <w:sz w:val="20"/>
                <w:szCs w:val="20"/>
              </w:rPr>
              <w:t>Statistics</w:t>
            </w:r>
          </w:p>
        </w:tc>
        <w:tc>
          <w:tcPr>
            <w:tcW w:w="666" w:type="dxa"/>
            <w:tcBorders>
              <w:top w:val="single" w:sz="4" w:space="0" w:color="auto"/>
              <w:left w:val="nil"/>
              <w:bottom w:val="nil"/>
              <w:right w:val="nil"/>
            </w:tcBorders>
            <w:noWrap/>
            <w:vAlign w:val="bottom"/>
            <w:hideMark/>
          </w:tcPr>
          <w:p w14:paraId="37F8F374" w14:textId="77777777" w:rsidR="00226BC6" w:rsidRPr="00B35A85" w:rsidRDefault="00226BC6" w:rsidP="00226BC6">
            <w:pPr>
              <w:jc w:val="right"/>
              <w:rPr>
                <w:rFonts w:ascii="Times New Roman" w:hAnsi="Times New Roman" w:cs="Times New Roman"/>
                <w:color w:val="000000"/>
                <w:sz w:val="20"/>
                <w:szCs w:val="20"/>
              </w:rPr>
            </w:pPr>
            <w:r w:rsidRPr="00B35A85">
              <w:rPr>
                <w:rFonts w:ascii="Times New Roman" w:hAnsi="Times New Roman" w:cs="Times New Roman"/>
                <w:color w:val="000000"/>
                <w:sz w:val="20"/>
                <w:szCs w:val="20"/>
              </w:rPr>
              <w:t>0.069</w:t>
            </w:r>
          </w:p>
        </w:tc>
        <w:tc>
          <w:tcPr>
            <w:tcW w:w="1260" w:type="dxa"/>
            <w:tcBorders>
              <w:top w:val="single" w:sz="4" w:space="0" w:color="auto"/>
              <w:left w:val="nil"/>
              <w:bottom w:val="nil"/>
              <w:right w:val="nil"/>
            </w:tcBorders>
            <w:noWrap/>
            <w:vAlign w:val="bottom"/>
            <w:hideMark/>
          </w:tcPr>
          <w:p w14:paraId="64A070C6" w14:textId="77777777" w:rsidR="00226BC6" w:rsidRPr="00B35A85" w:rsidRDefault="00226BC6" w:rsidP="00226BC6">
            <w:pPr>
              <w:jc w:val="right"/>
              <w:rPr>
                <w:rFonts w:ascii="Times New Roman" w:hAnsi="Times New Roman" w:cs="Times New Roman"/>
                <w:color w:val="000000"/>
                <w:sz w:val="20"/>
                <w:szCs w:val="20"/>
              </w:rPr>
            </w:pPr>
            <w:r w:rsidRPr="00B35A85">
              <w:rPr>
                <w:rFonts w:ascii="Times New Roman" w:hAnsi="Times New Roman" w:cs="Times New Roman"/>
                <w:color w:val="000000"/>
                <w:sz w:val="20"/>
                <w:szCs w:val="20"/>
              </w:rPr>
              <w:t>0.292</w:t>
            </w:r>
          </w:p>
        </w:tc>
        <w:tc>
          <w:tcPr>
            <w:tcW w:w="1350" w:type="dxa"/>
            <w:tcBorders>
              <w:top w:val="single" w:sz="4" w:space="0" w:color="auto"/>
              <w:left w:val="nil"/>
              <w:bottom w:val="nil"/>
              <w:right w:val="nil"/>
            </w:tcBorders>
            <w:noWrap/>
            <w:vAlign w:val="bottom"/>
            <w:hideMark/>
          </w:tcPr>
          <w:p w14:paraId="7A133F48" w14:textId="77777777" w:rsidR="00226BC6" w:rsidRPr="00B35A85" w:rsidRDefault="00226BC6" w:rsidP="00226BC6">
            <w:pPr>
              <w:jc w:val="right"/>
              <w:rPr>
                <w:rFonts w:ascii="Times New Roman" w:hAnsi="Times New Roman" w:cs="Times New Roman"/>
                <w:color w:val="000000"/>
                <w:sz w:val="20"/>
                <w:szCs w:val="20"/>
              </w:rPr>
            </w:pPr>
            <w:r w:rsidRPr="00B35A85">
              <w:rPr>
                <w:rFonts w:ascii="Times New Roman" w:hAnsi="Times New Roman" w:cs="Times New Roman"/>
                <w:color w:val="000000"/>
                <w:sz w:val="20"/>
                <w:szCs w:val="20"/>
              </w:rPr>
              <w:t>0.141</w:t>
            </w:r>
          </w:p>
        </w:tc>
      </w:tr>
      <w:tr w:rsidR="00226BC6" w:rsidRPr="00B35A85" w14:paraId="2E0ED7C0" w14:textId="77777777" w:rsidTr="00226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1116" w:type="dxa"/>
            <w:tcBorders>
              <w:top w:val="nil"/>
              <w:left w:val="nil"/>
              <w:bottom w:val="nil"/>
              <w:right w:val="nil"/>
            </w:tcBorders>
            <w:noWrap/>
            <w:vAlign w:val="bottom"/>
            <w:hideMark/>
          </w:tcPr>
          <w:p w14:paraId="0985BDBE" w14:textId="77777777" w:rsidR="00226BC6" w:rsidRPr="00B35A85" w:rsidRDefault="00226BC6" w:rsidP="00226BC6">
            <w:pPr>
              <w:jc w:val="right"/>
              <w:rPr>
                <w:rFonts w:ascii="Times New Roman" w:hAnsi="Times New Roman" w:cs="Times New Roman"/>
                <w:color w:val="000000"/>
                <w:sz w:val="20"/>
                <w:szCs w:val="20"/>
              </w:rPr>
            </w:pPr>
          </w:p>
        </w:tc>
        <w:tc>
          <w:tcPr>
            <w:tcW w:w="3474" w:type="dxa"/>
            <w:tcBorders>
              <w:top w:val="nil"/>
              <w:left w:val="nil"/>
              <w:bottom w:val="nil"/>
              <w:right w:val="nil"/>
            </w:tcBorders>
            <w:noWrap/>
            <w:vAlign w:val="bottom"/>
            <w:hideMark/>
          </w:tcPr>
          <w:p w14:paraId="6ACCDA11" w14:textId="77777777" w:rsidR="00226BC6" w:rsidRPr="00B35A85" w:rsidRDefault="00226BC6" w:rsidP="00226BC6">
            <w:pPr>
              <w:jc w:val="right"/>
              <w:rPr>
                <w:rFonts w:ascii="Times New Roman" w:hAnsi="Times New Roman" w:cs="Times New Roman"/>
                <w:color w:val="000000"/>
                <w:sz w:val="20"/>
                <w:szCs w:val="20"/>
              </w:rPr>
            </w:pPr>
            <w:r w:rsidRPr="00B35A85">
              <w:rPr>
                <w:rFonts w:ascii="Times New Roman" w:hAnsi="Times New Roman" w:cs="Times New Roman"/>
                <w:color w:val="000000"/>
                <w:sz w:val="20"/>
                <w:szCs w:val="20"/>
              </w:rPr>
              <w:t>College Algebra</w:t>
            </w:r>
          </w:p>
        </w:tc>
        <w:tc>
          <w:tcPr>
            <w:tcW w:w="666" w:type="dxa"/>
            <w:tcBorders>
              <w:top w:val="nil"/>
              <w:left w:val="nil"/>
              <w:bottom w:val="nil"/>
              <w:right w:val="nil"/>
            </w:tcBorders>
            <w:noWrap/>
            <w:vAlign w:val="bottom"/>
            <w:hideMark/>
          </w:tcPr>
          <w:p w14:paraId="4FD6B948" w14:textId="77777777" w:rsidR="00226BC6" w:rsidRPr="00B35A85" w:rsidRDefault="00226BC6" w:rsidP="00226BC6">
            <w:pPr>
              <w:jc w:val="right"/>
              <w:rPr>
                <w:rFonts w:ascii="Times New Roman" w:hAnsi="Times New Roman" w:cs="Times New Roman"/>
                <w:color w:val="000000"/>
                <w:sz w:val="20"/>
                <w:szCs w:val="20"/>
              </w:rPr>
            </w:pPr>
            <w:r w:rsidRPr="00B35A85">
              <w:rPr>
                <w:rFonts w:ascii="Times New Roman" w:hAnsi="Times New Roman" w:cs="Times New Roman"/>
                <w:color w:val="000000"/>
                <w:sz w:val="20"/>
                <w:szCs w:val="20"/>
              </w:rPr>
              <w:t>0.132</w:t>
            </w:r>
          </w:p>
        </w:tc>
        <w:tc>
          <w:tcPr>
            <w:tcW w:w="1260" w:type="dxa"/>
            <w:tcBorders>
              <w:top w:val="nil"/>
              <w:left w:val="nil"/>
              <w:bottom w:val="nil"/>
              <w:right w:val="nil"/>
            </w:tcBorders>
            <w:noWrap/>
            <w:vAlign w:val="bottom"/>
            <w:hideMark/>
          </w:tcPr>
          <w:p w14:paraId="7B8EE9C7" w14:textId="77777777" w:rsidR="00226BC6" w:rsidRPr="00B35A85" w:rsidRDefault="00226BC6" w:rsidP="00226BC6">
            <w:pPr>
              <w:jc w:val="right"/>
              <w:rPr>
                <w:rFonts w:ascii="Times New Roman" w:hAnsi="Times New Roman" w:cs="Times New Roman"/>
                <w:color w:val="000000"/>
                <w:sz w:val="20"/>
                <w:szCs w:val="20"/>
              </w:rPr>
            </w:pPr>
            <w:r w:rsidRPr="00B35A85">
              <w:rPr>
                <w:rFonts w:ascii="Times New Roman" w:hAnsi="Times New Roman" w:cs="Times New Roman"/>
                <w:color w:val="000000"/>
                <w:sz w:val="20"/>
                <w:szCs w:val="20"/>
              </w:rPr>
              <w:t>0.178</w:t>
            </w:r>
          </w:p>
        </w:tc>
        <w:tc>
          <w:tcPr>
            <w:tcW w:w="1350" w:type="dxa"/>
            <w:tcBorders>
              <w:top w:val="nil"/>
              <w:left w:val="nil"/>
              <w:bottom w:val="nil"/>
              <w:right w:val="nil"/>
            </w:tcBorders>
            <w:noWrap/>
            <w:vAlign w:val="bottom"/>
            <w:hideMark/>
          </w:tcPr>
          <w:p w14:paraId="34AB6357" w14:textId="77777777" w:rsidR="00226BC6" w:rsidRPr="00B35A85" w:rsidRDefault="00226BC6" w:rsidP="00226BC6">
            <w:pPr>
              <w:jc w:val="right"/>
              <w:rPr>
                <w:rFonts w:ascii="Times New Roman" w:hAnsi="Times New Roman" w:cs="Times New Roman"/>
                <w:color w:val="000000"/>
                <w:sz w:val="20"/>
                <w:szCs w:val="20"/>
              </w:rPr>
            </w:pPr>
            <w:r w:rsidRPr="00B35A85">
              <w:rPr>
                <w:rFonts w:ascii="Times New Roman" w:hAnsi="Times New Roman" w:cs="Times New Roman"/>
                <w:color w:val="000000"/>
                <w:sz w:val="20"/>
                <w:szCs w:val="20"/>
              </w:rPr>
              <w:t>0.004</w:t>
            </w:r>
          </w:p>
        </w:tc>
      </w:tr>
      <w:tr w:rsidR="00226BC6" w:rsidRPr="00B35A85" w14:paraId="4311F7F8" w14:textId="77777777" w:rsidTr="00226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1116" w:type="dxa"/>
            <w:tcBorders>
              <w:top w:val="nil"/>
              <w:left w:val="nil"/>
              <w:bottom w:val="nil"/>
              <w:right w:val="nil"/>
            </w:tcBorders>
            <w:noWrap/>
            <w:vAlign w:val="bottom"/>
            <w:hideMark/>
          </w:tcPr>
          <w:p w14:paraId="0A779DBF" w14:textId="77777777" w:rsidR="00226BC6" w:rsidRPr="00B35A85" w:rsidRDefault="00226BC6" w:rsidP="00226BC6">
            <w:pPr>
              <w:jc w:val="right"/>
              <w:rPr>
                <w:rFonts w:ascii="Times New Roman" w:hAnsi="Times New Roman" w:cs="Times New Roman"/>
                <w:color w:val="000000"/>
                <w:sz w:val="20"/>
                <w:szCs w:val="20"/>
              </w:rPr>
            </w:pPr>
          </w:p>
        </w:tc>
        <w:tc>
          <w:tcPr>
            <w:tcW w:w="3474" w:type="dxa"/>
            <w:tcBorders>
              <w:top w:val="nil"/>
              <w:left w:val="nil"/>
              <w:bottom w:val="nil"/>
              <w:right w:val="nil"/>
            </w:tcBorders>
            <w:noWrap/>
            <w:vAlign w:val="bottom"/>
            <w:hideMark/>
          </w:tcPr>
          <w:p w14:paraId="29EB5652" w14:textId="77777777" w:rsidR="00226BC6" w:rsidRPr="00B35A85" w:rsidRDefault="00226BC6" w:rsidP="00226BC6">
            <w:pPr>
              <w:jc w:val="right"/>
              <w:rPr>
                <w:rFonts w:ascii="Times New Roman" w:hAnsi="Times New Roman" w:cs="Times New Roman"/>
                <w:color w:val="000000"/>
                <w:sz w:val="20"/>
                <w:szCs w:val="20"/>
              </w:rPr>
            </w:pPr>
            <w:r w:rsidRPr="00B35A85">
              <w:rPr>
                <w:rFonts w:ascii="Times New Roman" w:hAnsi="Times New Roman" w:cs="Times New Roman"/>
                <w:color w:val="000000"/>
                <w:sz w:val="20"/>
                <w:szCs w:val="20"/>
              </w:rPr>
              <w:t>Trigonometry</w:t>
            </w:r>
          </w:p>
        </w:tc>
        <w:tc>
          <w:tcPr>
            <w:tcW w:w="666" w:type="dxa"/>
            <w:tcBorders>
              <w:top w:val="nil"/>
              <w:left w:val="nil"/>
              <w:bottom w:val="nil"/>
              <w:right w:val="nil"/>
            </w:tcBorders>
            <w:noWrap/>
            <w:vAlign w:val="bottom"/>
            <w:hideMark/>
          </w:tcPr>
          <w:p w14:paraId="445B4887" w14:textId="77777777" w:rsidR="00226BC6" w:rsidRPr="00B35A85" w:rsidRDefault="00226BC6" w:rsidP="00226BC6">
            <w:pPr>
              <w:jc w:val="right"/>
              <w:rPr>
                <w:rFonts w:ascii="Times New Roman" w:hAnsi="Times New Roman" w:cs="Times New Roman"/>
                <w:color w:val="000000"/>
                <w:sz w:val="20"/>
                <w:szCs w:val="20"/>
              </w:rPr>
            </w:pPr>
            <w:r w:rsidRPr="00B35A85">
              <w:rPr>
                <w:rFonts w:ascii="Times New Roman" w:hAnsi="Times New Roman" w:cs="Times New Roman"/>
                <w:color w:val="000000"/>
                <w:sz w:val="20"/>
                <w:szCs w:val="20"/>
              </w:rPr>
              <w:t>0.235</w:t>
            </w:r>
          </w:p>
        </w:tc>
        <w:tc>
          <w:tcPr>
            <w:tcW w:w="1260" w:type="dxa"/>
            <w:tcBorders>
              <w:top w:val="nil"/>
              <w:left w:val="nil"/>
              <w:bottom w:val="nil"/>
              <w:right w:val="nil"/>
            </w:tcBorders>
            <w:noWrap/>
            <w:vAlign w:val="bottom"/>
            <w:hideMark/>
          </w:tcPr>
          <w:p w14:paraId="7CFA3A7B" w14:textId="77777777" w:rsidR="00226BC6" w:rsidRPr="00B35A85" w:rsidRDefault="00226BC6" w:rsidP="00226BC6">
            <w:pPr>
              <w:jc w:val="right"/>
              <w:rPr>
                <w:rFonts w:ascii="Times New Roman" w:hAnsi="Times New Roman" w:cs="Times New Roman"/>
                <w:color w:val="000000"/>
                <w:sz w:val="20"/>
                <w:szCs w:val="20"/>
              </w:rPr>
            </w:pPr>
            <w:r w:rsidRPr="00B35A85">
              <w:rPr>
                <w:rFonts w:ascii="Times New Roman" w:hAnsi="Times New Roman" w:cs="Times New Roman"/>
                <w:color w:val="000000"/>
                <w:sz w:val="20"/>
                <w:szCs w:val="20"/>
              </w:rPr>
              <w:t>0.375</w:t>
            </w:r>
          </w:p>
        </w:tc>
        <w:tc>
          <w:tcPr>
            <w:tcW w:w="1350" w:type="dxa"/>
            <w:tcBorders>
              <w:top w:val="nil"/>
              <w:left w:val="nil"/>
              <w:bottom w:val="nil"/>
              <w:right w:val="nil"/>
            </w:tcBorders>
            <w:noWrap/>
            <w:vAlign w:val="bottom"/>
            <w:hideMark/>
          </w:tcPr>
          <w:p w14:paraId="26A27FEA" w14:textId="77777777" w:rsidR="00226BC6" w:rsidRPr="00B35A85" w:rsidRDefault="00226BC6" w:rsidP="00226BC6">
            <w:pPr>
              <w:jc w:val="right"/>
              <w:rPr>
                <w:rFonts w:ascii="Times New Roman" w:hAnsi="Times New Roman" w:cs="Times New Roman"/>
                <w:color w:val="000000"/>
                <w:sz w:val="20"/>
                <w:szCs w:val="20"/>
              </w:rPr>
            </w:pPr>
            <w:r w:rsidRPr="00B35A85">
              <w:rPr>
                <w:rFonts w:ascii="Times New Roman" w:hAnsi="Times New Roman" w:cs="Times New Roman"/>
                <w:color w:val="000000"/>
                <w:sz w:val="20"/>
                <w:szCs w:val="20"/>
              </w:rPr>
              <w:t>0.005</w:t>
            </w:r>
          </w:p>
        </w:tc>
      </w:tr>
      <w:tr w:rsidR="00226BC6" w:rsidRPr="00B35A85" w14:paraId="1DE88557" w14:textId="77777777" w:rsidTr="00226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1116" w:type="dxa"/>
            <w:tcBorders>
              <w:top w:val="nil"/>
              <w:left w:val="nil"/>
              <w:bottom w:val="nil"/>
              <w:right w:val="nil"/>
            </w:tcBorders>
            <w:noWrap/>
            <w:vAlign w:val="bottom"/>
            <w:hideMark/>
          </w:tcPr>
          <w:p w14:paraId="2362B545" w14:textId="77777777" w:rsidR="00226BC6" w:rsidRPr="00B35A85" w:rsidRDefault="00226BC6" w:rsidP="00226BC6">
            <w:pPr>
              <w:jc w:val="right"/>
              <w:rPr>
                <w:rFonts w:ascii="Times New Roman" w:hAnsi="Times New Roman" w:cs="Times New Roman"/>
                <w:color w:val="000000"/>
                <w:sz w:val="20"/>
                <w:szCs w:val="20"/>
              </w:rPr>
            </w:pPr>
          </w:p>
        </w:tc>
        <w:tc>
          <w:tcPr>
            <w:tcW w:w="3474" w:type="dxa"/>
            <w:tcBorders>
              <w:top w:val="nil"/>
              <w:left w:val="nil"/>
              <w:bottom w:val="nil"/>
              <w:right w:val="nil"/>
            </w:tcBorders>
            <w:noWrap/>
            <w:vAlign w:val="bottom"/>
            <w:hideMark/>
          </w:tcPr>
          <w:p w14:paraId="1CD0D92E" w14:textId="77777777" w:rsidR="00226BC6" w:rsidRPr="00B35A85" w:rsidRDefault="00226BC6" w:rsidP="00226BC6">
            <w:pPr>
              <w:jc w:val="right"/>
              <w:rPr>
                <w:rFonts w:ascii="Times New Roman" w:hAnsi="Times New Roman" w:cs="Times New Roman"/>
                <w:color w:val="000000"/>
                <w:sz w:val="20"/>
                <w:szCs w:val="20"/>
              </w:rPr>
            </w:pPr>
            <w:r w:rsidRPr="00B35A85">
              <w:rPr>
                <w:rFonts w:ascii="Times New Roman" w:hAnsi="Times New Roman" w:cs="Times New Roman"/>
                <w:color w:val="000000"/>
                <w:sz w:val="20"/>
                <w:szCs w:val="20"/>
              </w:rPr>
              <w:t>Pre-Calculus</w:t>
            </w:r>
          </w:p>
        </w:tc>
        <w:tc>
          <w:tcPr>
            <w:tcW w:w="666" w:type="dxa"/>
            <w:tcBorders>
              <w:top w:val="nil"/>
              <w:left w:val="nil"/>
              <w:bottom w:val="nil"/>
              <w:right w:val="nil"/>
            </w:tcBorders>
            <w:noWrap/>
            <w:vAlign w:val="bottom"/>
            <w:hideMark/>
          </w:tcPr>
          <w:p w14:paraId="13288DA2" w14:textId="77777777" w:rsidR="00226BC6" w:rsidRPr="00B35A85" w:rsidRDefault="00226BC6" w:rsidP="00226BC6">
            <w:pPr>
              <w:jc w:val="right"/>
              <w:rPr>
                <w:rFonts w:ascii="Times New Roman" w:hAnsi="Times New Roman" w:cs="Times New Roman"/>
                <w:color w:val="000000"/>
                <w:sz w:val="20"/>
                <w:szCs w:val="20"/>
              </w:rPr>
            </w:pPr>
            <w:r w:rsidRPr="00B35A85">
              <w:rPr>
                <w:rFonts w:ascii="Times New Roman" w:hAnsi="Times New Roman" w:cs="Times New Roman"/>
                <w:color w:val="000000"/>
                <w:sz w:val="20"/>
                <w:szCs w:val="20"/>
              </w:rPr>
              <w:t>0.236</w:t>
            </w:r>
          </w:p>
        </w:tc>
        <w:tc>
          <w:tcPr>
            <w:tcW w:w="1260" w:type="dxa"/>
            <w:tcBorders>
              <w:top w:val="nil"/>
              <w:left w:val="nil"/>
              <w:bottom w:val="nil"/>
              <w:right w:val="nil"/>
            </w:tcBorders>
            <w:noWrap/>
            <w:vAlign w:val="bottom"/>
            <w:hideMark/>
          </w:tcPr>
          <w:p w14:paraId="15CE441D" w14:textId="77777777" w:rsidR="00226BC6" w:rsidRPr="00B35A85" w:rsidRDefault="00226BC6" w:rsidP="00226BC6">
            <w:pPr>
              <w:jc w:val="right"/>
              <w:rPr>
                <w:rFonts w:ascii="Times New Roman" w:hAnsi="Times New Roman" w:cs="Times New Roman"/>
                <w:color w:val="000000"/>
                <w:sz w:val="20"/>
                <w:szCs w:val="20"/>
              </w:rPr>
            </w:pPr>
            <w:r w:rsidRPr="00B35A85">
              <w:rPr>
                <w:rFonts w:ascii="Times New Roman" w:hAnsi="Times New Roman" w:cs="Times New Roman"/>
                <w:color w:val="000000"/>
                <w:sz w:val="20"/>
                <w:szCs w:val="20"/>
              </w:rPr>
              <w:t>0.535</w:t>
            </w:r>
          </w:p>
        </w:tc>
        <w:tc>
          <w:tcPr>
            <w:tcW w:w="1350" w:type="dxa"/>
            <w:tcBorders>
              <w:top w:val="nil"/>
              <w:left w:val="nil"/>
              <w:bottom w:val="nil"/>
              <w:right w:val="nil"/>
            </w:tcBorders>
            <w:noWrap/>
            <w:vAlign w:val="bottom"/>
            <w:hideMark/>
          </w:tcPr>
          <w:p w14:paraId="2517D238" w14:textId="77777777" w:rsidR="00226BC6" w:rsidRPr="00B35A85" w:rsidRDefault="00226BC6" w:rsidP="00226BC6">
            <w:pPr>
              <w:jc w:val="right"/>
              <w:rPr>
                <w:rFonts w:ascii="Times New Roman" w:hAnsi="Times New Roman" w:cs="Times New Roman"/>
                <w:color w:val="000000"/>
                <w:sz w:val="20"/>
                <w:szCs w:val="20"/>
              </w:rPr>
            </w:pPr>
            <w:r w:rsidRPr="00B35A85">
              <w:rPr>
                <w:rFonts w:ascii="Times New Roman" w:hAnsi="Times New Roman" w:cs="Times New Roman"/>
                <w:color w:val="000000"/>
                <w:sz w:val="20"/>
                <w:szCs w:val="20"/>
              </w:rPr>
              <w:t>0.006</w:t>
            </w:r>
          </w:p>
        </w:tc>
      </w:tr>
      <w:tr w:rsidR="00226BC6" w:rsidRPr="00B35A85" w14:paraId="78D14F2A" w14:textId="77777777" w:rsidTr="00226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1116" w:type="dxa"/>
            <w:tcBorders>
              <w:top w:val="nil"/>
              <w:left w:val="nil"/>
              <w:bottom w:val="nil"/>
              <w:right w:val="nil"/>
            </w:tcBorders>
            <w:noWrap/>
            <w:vAlign w:val="bottom"/>
            <w:hideMark/>
          </w:tcPr>
          <w:p w14:paraId="7C5009A8" w14:textId="77777777" w:rsidR="00226BC6" w:rsidRPr="00B35A85" w:rsidRDefault="00226BC6" w:rsidP="00226BC6">
            <w:pPr>
              <w:jc w:val="right"/>
              <w:rPr>
                <w:rFonts w:ascii="Times New Roman" w:hAnsi="Times New Roman" w:cs="Times New Roman"/>
                <w:color w:val="000000"/>
                <w:sz w:val="20"/>
                <w:szCs w:val="20"/>
              </w:rPr>
            </w:pPr>
          </w:p>
        </w:tc>
        <w:tc>
          <w:tcPr>
            <w:tcW w:w="3474" w:type="dxa"/>
            <w:tcBorders>
              <w:top w:val="nil"/>
              <w:left w:val="nil"/>
              <w:bottom w:val="nil"/>
              <w:right w:val="nil"/>
            </w:tcBorders>
            <w:noWrap/>
            <w:vAlign w:val="bottom"/>
            <w:hideMark/>
          </w:tcPr>
          <w:p w14:paraId="258F74EF" w14:textId="77777777" w:rsidR="00226BC6" w:rsidRPr="00B35A85" w:rsidRDefault="00226BC6" w:rsidP="00226BC6">
            <w:pPr>
              <w:jc w:val="right"/>
              <w:rPr>
                <w:rFonts w:ascii="Times New Roman" w:hAnsi="Times New Roman" w:cs="Times New Roman"/>
                <w:color w:val="000000"/>
                <w:sz w:val="20"/>
                <w:szCs w:val="20"/>
              </w:rPr>
            </w:pPr>
            <w:r w:rsidRPr="00B35A85">
              <w:rPr>
                <w:rFonts w:ascii="Times New Roman" w:hAnsi="Times New Roman" w:cs="Times New Roman"/>
                <w:color w:val="000000"/>
                <w:sz w:val="20"/>
                <w:szCs w:val="20"/>
              </w:rPr>
              <w:t>Calculus I</w:t>
            </w:r>
          </w:p>
        </w:tc>
        <w:tc>
          <w:tcPr>
            <w:tcW w:w="666" w:type="dxa"/>
            <w:tcBorders>
              <w:top w:val="nil"/>
              <w:left w:val="nil"/>
              <w:bottom w:val="nil"/>
              <w:right w:val="nil"/>
            </w:tcBorders>
            <w:noWrap/>
            <w:vAlign w:val="bottom"/>
            <w:hideMark/>
          </w:tcPr>
          <w:p w14:paraId="0B85B4E4" w14:textId="77777777" w:rsidR="00226BC6" w:rsidRPr="00B35A85" w:rsidRDefault="00226BC6" w:rsidP="00226BC6">
            <w:pPr>
              <w:jc w:val="right"/>
              <w:rPr>
                <w:rFonts w:ascii="Times New Roman" w:hAnsi="Times New Roman" w:cs="Times New Roman"/>
                <w:color w:val="000000"/>
                <w:sz w:val="20"/>
                <w:szCs w:val="20"/>
              </w:rPr>
            </w:pPr>
            <w:r w:rsidRPr="00B35A85">
              <w:rPr>
                <w:rFonts w:ascii="Times New Roman" w:hAnsi="Times New Roman" w:cs="Times New Roman"/>
                <w:color w:val="000000"/>
                <w:sz w:val="20"/>
                <w:szCs w:val="20"/>
              </w:rPr>
              <w:t>0.299</w:t>
            </w:r>
          </w:p>
        </w:tc>
        <w:tc>
          <w:tcPr>
            <w:tcW w:w="1260" w:type="dxa"/>
            <w:tcBorders>
              <w:top w:val="nil"/>
              <w:left w:val="nil"/>
              <w:bottom w:val="nil"/>
              <w:right w:val="nil"/>
            </w:tcBorders>
            <w:noWrap/>
            <w:vAlign w:val="bottom"/>
            <w:hideMark/>
          </w:tcPr>
          <w:p w14:paraId="23794DEB" w14:textId="77777777" w:rsidR="00226BC6" w:rsidRPr="00B35A85" w:rsidRDefault="00226BC6" w:rsidP="00226BC6">
            <w:pPr>
              <w:jc w:val="right"/>
              <w:rPr>
                <w:rFonts w:ascii="Times New Roman" w:hAnsi="Times New Roman" w:cs="Times New Roman"/>
                <w:color w:val="000000"/>
                <w:sz w:val="20"/>
                <w:szCs w:val="20"/>
              </w:rPr>
            </w:pPr>
            <w:r w:rsidRPr="00B35A85">
              <w:rPr>
                <w:rFonts w:ascii="Times New Roman" w:hAnsi="Times New Roman" w:cs="Times New Roman"/>
                <w:color w:val="000000"/>
                <w:sz w:val="20"/>
                <w:szCs w:val="20"/>
              </w:rPr>
              <w:t>1.000</w:t>
            </w:r>
          </w:p>
        </w:tc>
        <w:tc>
          <w:tcPr>
            <w:tcW w:w="1350" w:type="dxa"/>
            <w:tcBorders>
              <w:top w:val="nil"/>
              <w:left w:val="nil"/>
              <w:bottom w:val="nil"/>
              <w:right w:val="nil"/>
            </w:tcBorders>
            <w:noWrap/>
            <w:vAlign w:val="bottom"/>
            <w:hideMark/>
          </w:tcPr>
          <w:p w14:paraId="7FAF07F5" w14:textId="77777777" w:rsidR="00226BC6" w:rsidRPr="00B35A85" w:rsidRDefault="00226BC6" w:rsidP="00226BC6">
            <w:pPr>
              <w:jc w:val="right"/>
              <w:rPr>
                <w:rFonts w:ascii="Times New Roman" w:hAnsi="Times New Roman" w:cs="Times New Roman"/>
                <w:color w:val="000000"/>
                <w:sz w:val="20"/>
                <w:szCs w:val="20"/>
              </w:rPr>
            </w:pPr>
            <w:r w:rsidRPr="00B35A85">
              <w:rPr>
                <w:rFonts w:ascii="Times New Roman" w:hAnsi="Times New Roman" w:cs="Times New Roman"/>
                <w:color w:val="000000"/>
                <w:sz w:val="20"/>
                <w:szCs w:val="20"/>
              </w:rPr>
              <w:t>0.209</w:t>
            </w:r>
          </w:p>
        </w:tc>
      </w:tr>
      <w:tr w:rsidR="00226BC6" w:rsidRPr="00B35A85" w14:paraId="53402162" w14:textId="77777777" w:rsidTr="00226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1116" w:type="dxa"/>
            <w:tcBorders>
              <w:top w:val="nil"/>
              <w:left w:val="nil"/>
              <w:bottom w:val="nil"/>
              <w:right w:val="nil"/>
            </w:tcBorders>
            <w:noWrap/>
            <w:vAlign w:val="bottom"/>
            <w:hideMark/>
          </w:tcPr>
          <w:p w14:paraId="10D7068E" w14:textId="77777777" w:rsidR="00226BC6" w:rsidRPr="00B35A85" w:rsidRDefault="00226BC6" w:rsidP="00226BC6">
            <w:pPr>
              <w:jc w:val="right"/>
              <w:rPr>
                <w:rFonts w:ascii="Times New Roman" w:hAnsi="Times New Roman" w:cs="Times New Roman"/>
                <w:color w:val="000000"/>
                <w:sz w:val="20"/>
                <w:szCs w:val="20"/>
              </w:rPr>
            </w:pPr>
          </w:p>
        </w:tc>
        <w:tc>
          <w:tcPr>
            <w:tcW w:w="3474" w:type="dxa"/>
            <w:tcBorders>
              <w:top w:val="nil"/>
              <w:left w:val="nil"/>
              <w:bottom w:val="nil"/>
              <w:right w:val="nil"/>
            </w:tcBorders>
            <w:noWrap/>
            <w:vAlign w:val="bottom"/>
            <w:hideMark/>
          </w:tcPr>
          <w:p w14:paraId="242338A6" w14:textId="77777777" w:rsidR="00226BC6" w:rsidRPr="00B35A85" w:rsidRDefault="00226BC6" w:rsidP="00226BC6">
            <w:pPr>
              <w:jc w:val="right"/>
              <w:rPr>
                <w:rFonts w:ascii="Times New Roman" w:hAnsi="Times New Roman" w:cs="Times New Roman"/>
                <w:color w:val="000000"/>
                <w:sz w:val="20"/>
                <w:szCs w:val="20"/>
              </w:rPr>
            </w:pPr>
            <w:r w:rsidRPr="00B35A85">
              <w:rPr>
                <w:rFonts w:ascii="Times New Roman" w:hAnsi="Times New Roman" w:cs="Times New Roman"/>
                <w:color w:val="000000"/>
                <w:sz w:val="20"/>
                <w:szCs w:val="20"/>
              </w:rPr>
              <w:t>Calculus II</w:t>
            </w:r>
          </w:p>
        </w:tc>
        <w:tc>
          <w:tcPr>
            <w:tcW w:w="666" w:type="dxa"/>
            <w:tcBorders>
              <w:top w:val="nil"/>
              <w:left w:val="nil"/>
              <w:bottom w:val="nil"/>
              <w:right w:val="nil"/>
            </w:tcBorders>
            <w:noWrap/>
            <w:vAlign w:val="bottom"/>
            <w:hideMark/>
          </w:tcPr>
          <w:p w14:paraId="76410195" w14:textId="77777777" w:rsidR="00226BC6" w:rsidRPr="00B35A85" w:rsidRDefault="00226BC6" w:rsidP="00226BC6">
            <w:pPr>
              <w:jc w:val="right"/>
              <w:rPr>
                <w:rFonts w:ascii="Times New Roman" w:hAnsi="Times New Roman" w:cs="Times New Roman"/>
                <w:color w:val="000000"/>
                <w:sz w:val="20"/>
                <w:szCs w:val="20"/>
              </w:rPr>
            </w:pPr>
            <w:r w:rsidRPr="00B35A85">
              <w:rPr>
                <w:rFonts w:ascii="Times New Roman" w:hAnsi="Times New Roman" w:cs="Times New Roman"/>
                <w:color w:val="000000"/>
                <w:sz w:val="20"/>
                <w:szCs w:val="20"/>
              </w:rPr>
              <w:t>0.004</w:t>
            </w:r>
          </w:p>
        </w:tc>
        <w:tc>
          <w:tcPr>
            <w:tcW w:w="1260" w:type="dxa"/>
            <w:tcBorders>
              <w:top w:val="nil"/>
              <w:left w:val="nil"/>
              <w:bottom w:val="nil"/>
              <w:right w:val="nil"/>
            </w:tcBorders>
            <w:noWrap/>
            <w:vAlign w:val="bottom"/>
            <w:hideMark/>
          </w:tcPr>
          <w:p w14:paraId="36E6A3B2" w14:textId="77777777" w:rsidR="00226BC6" w:rsidRPr="00B35A85" w:rsidRDefault="00226BC6" w:rsidP="00226BC6">
            <w:pPr>
              <w:jc w:val="right"/>
              <w:rPr>
                <w:rFonts w:ascii="Times New Roman" w:hAnsi="Times New Roman" w:cs="Times New Roman"/>
                <w:color w:val="000000"/>
                <w:sz w:val="20"/>
                <w:szCs w:val="20"/>
              </w:rPr>
            </w:pPr>
            <w:r w:rsidRPr="00B35A85">
              <w:rPr>
                <w:rFonts w:ascii="Times New Roman" w:hAnsi="Times New Roman" w:cs="Times New Roman"/>
                <w:color w:val="000000"/>
                <w:sz w:val="20"/>
                <w:szCs w:val="20"/>
              </w:rPr>
              <w:t>0.701</w:t>
            </w:r>
          </w:p>
        </w:tc>
        <w:tc>
          <w:tcPr>
            <w:tcW w:w="1350" w:type="dxa"/>
            <w:tcBorders>
              <w:top w:val="nil"/>
              <w:left w:val="nil"/>
              <w:bottom w:val="nil"/>
              <w:right w:val="nil"/>
            </w:tcBorders>
            <w:noWrap/>
            <w:vAlign w:val="bottom"/>
            <w:hideMark/>
          </w:tcPr>
          <w:p w14:paraId="4922B32A" w14:textId="77777777" w:rsidR="00226BC6" w:rsidRPr="00B35A85" w:rsidRDefault="00226BC6" w:rsidP="00226BC6">
            <w:pPr>
              <w:jc w:val="right"/>
              <w:rPr>
                <w:rFonts w:ascii="Times New Roman" w:hAnsi="Times New Roman" w:cs="Times New Roman"/>
                <w:color w:val="000000"/>
                <w:sz w:val="20"/>
                <w:szCs w:val="20"/>
              </w:rPr>
            </w:pPr>
            <w:r w:rsidRPr="00B35A85">
              <w:rPr>
                <w:rFonts w:ascii="Times New Roman" w:hAnsi="Times New Roman" w:cs="Times New Roman"/>
                <w:color w:val="000000"/>
                <w:sz w:val="20"/>
                <w:szCs w:val="20"/>
              </w:rPr>
              <w:t>0.211</w:t>
            </w:r>
          </w:p>
        </w:tc>
      </w:tr>
      <w:tr w:rsidR="00226BC6" w:rsidRPr="00B35A85" w14:paraId="0551509B" w14:textId="77777777" w:rsidTr="00226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1116" w:type="dxa"/>
            <w:tcBorders>
              <w:top w:val="nil"/>
              <w:left w:val="nil"/>
              <w:bottom w:val="nil"/>
              <w:right w:val="nil"/>
            </w:tcBorders>
            <w:noWrap/>
            <w:vAlign w:val="bottom"/>
            <w:hideMark/>
          </w:tcPr>
          <w:p w14:paraId="5E4D7F3F" w14:textId="77777777" w:rsidR="00226BC6" w:rsidRPr="00B35A85" w:rsidRDefault="00226BC6" w:rsidP="00226BC6">
            <w:pPr>
              <w:jc w:val="right"/>
              <w:rPr>
                <w:rFonts w:ascii="Times New Roman" w:hAnsi="Times New Roman" w:cs="Times New Roman"/>
                <w:color w:val="000000"/>
                <w:sz w:val="20"/>
                <w:szCs w:val="20"/>
              </w:rPr>
            </w:pPr>
          </w:p>
        </w:tc>
        <w:tc>
          <w:tcPr>
            <w:tcW w:w="3474" w:type="dxa"/>
            <w:tcBorders>
              <w:top w:val="nil"/>
              <w:left w:val="nil"/>
              <w:bottom w:val="nil"/>
              <w:right w:val="nil"/>
            </w:tcBorders>
            <w:noWrap/>
            <w:vAlign w:val="bottom"/>
            <w:hideMark/>
          </w:tcPr>
          <w:p w14:paraId="5E177B23" w14:textId="77777777" w:rsidR="00226BC6" w:rsidRPr="00B35A85" w:rsidRDefault="00226BC6" w:rsidP="00226BC6">
            <w:pPr>
              <w:jc w:val="right"/>
              <w:rPr>
                <w:rFonts w:ascii="Times New Roman" w:hAnsi="Times New Roman" w:cs="Times New Roman"/>
                <w:color w:val="000000"/>
                <w:sz w:val="20"/>
                <w:szCs w:val="20"/>
              </w:rPr>
            </w:pPr>
            <w:r w:rsidRPr="00B35A85">
              <w:rPr>
                <w:rFonts w:ascii="Times New Roman" w:hAnsi="Times New Roman" w:cs="Times New Roman"/>
                <w:color w:val="000000"/>
                <w:sz w:val="20"/>
                <w:szCs w:val="20"/>
              </w:rPr>
              <w:t>Calculus III</w:t>
            </w:r>
          </w:p>
        </w:tc>
        <w:tc>
          <w:tcPr>
            <w:tcW w:w="666" w:type="dxa"/>
            <w:tcBorders>
              <w:top w:val="nil"/>
              <w:left w:val="nil"/>
              <w:bottom w:val="nil"/>
              <w:right w:val="nil"/>
            </w:tcBorders>
            <w:noWrap/>
            <w:vAlign w:val="bottom"/>
            <w:hideMark/>
          </w:tcPr>
          <w:p w14:paraId="45DBD318" w14:textId="77777777" w:rsidR="00226BC6" w:rsidRPr="00B35A85" w:rsidRDefault="00226BC6" w:rsidP="00226BC6">
            <w:pPr>
              <w:jc w:val="right"/>
              <w:rPr>
                <w:rFonts w:ascii="Times New Roman" w:hAnsi="Times New Roman" w:cs="Times New Roman"/>
                <w:color w:val="000000"/>
                <w:sz w:val="20"/>
                <w:szCs w:val="20"/>
              </w:rPr>
            </w:pPr>
            <w:r w:rsidRPr="00B35A85">
              <w:rPr>
                <w:rFonts w:ascii="Times New Roman" w:hAnsi="Times New Roman" w:cs="Times New Roman"/>
                <w:color w:val="000000"/>
                <w:sz w:val="20"/>
                <w:szCs w:val="20"/>
              </w:rPr>
              <w:t>0.005</w:t>
            </w:r>
          </w:p>
        </w:tc>
        <w:tc>
          <w:tcPr>
            <w:tcW w:w="1260" w:type="dxa"/>
            <w:tcBorders>
              <w:top w:val="nil"/>
              <w:left w:val="nil"/>
              <w:bottom w:val="nil"/>
              <w:right w:val="nil"/>
            </w:tcBorders>
            <w:noWrap/>
            <w:vAlign w:val="bottom"/>
            <w:hideMark/>
          </w:tcPr>
          <w:p w14:paraId="1D3E1058" w14:textId="77777777" w:rsidR="00226BC6" w:rsidRPr="00B35A85" w:rsidRDefault="00226BC6" w:rsidP="00226BC6">
            <w:pPr>
              <w:jc w:val="right"/>
              <w:rPr>
                <w:rFonts w:ascii="Times New Roman" w:hAnsi="Times New Roman" w:cs="Times New Roman"/>
                <w:color w:val="000000"/>
                <w:sz w:val="20"/>
                <w:szCs w:val="20"/>
              </w:rPr>
            </w:pPr>
            <w:r w:rsidRPr="00B35A85">
              <w:rPr>
                <w:rFonts w:ascii="Times New Roman" w:hAnsi="Times New Roman" w:cs="Times New Roman"/>
                <w:color w:val="000000"/>
                <w:sz w:val="20"/>
                <w:szCs w:val="20"/>
              </w:rPr>
              <w:t>0.445</w:t>
            </w:r>
          </w:p>
        </w:tc>
        <w:tc>
          <w:tcPr>
            <w:tcW w:w="1350" w:type="dxa"/>
            <w:tcBorders>
              <w:top w:val="nil"/>
              <w:left w:val="nil"/>
              <w:bottom w:val="nil"/>
              <w:right w:val="nil"/>
            </w:tcBorders>
            <w:noWrap/>
            <w:vAlign w:val="bottom"/>
            <w:hideMark/>
          </w:tcPr>
          <w:p w14:paraId="7105C487" w14:textId="77777777" w:rsidR="00226BC6" w:rsidRPr="00B35A85" w:rsidRDefault="00226BC6" w:rsidP="00226BC6">
            <w:pPr>
              <w:jc w:val="right"/>
              <w:rPr>
                <w:rFonts w:ascii="Times New Roman" w:hAnsi="Times New Roman" w:cs="Times New Roman"/>
                <w:color w:val="000000"/>
                <w:sz w:val="20"/>
                <w:szCs w:val="20"/>
              </w:rPr>
            </w:pPr>
            <w:r w:rsidRPr="00B35A85">
              <w:rPr>
                <w:rFonts w:ascii="Times New Roman" w:hAnsi="Times New Roman" w:cs="Times New Roman"/>
                <w:color w:val="000000"/>
                <w:sz w:val="20"/>
                <w:szCs w:val="20"/>
              </w:rPr>
              <w:t>0.398</w:t>
            </w:r>
          </w:p>
        </w:tc>
      </w:tr>
      <w:tr w:rsidR="00226BC6" w:rsidRPr="00B35A85" w14:paraId="478A9C0A" w14:textId="77777777" w:rsidTr="00226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1116" w:type="dxa"/>
            <w:tcBorders>
              <w:top w:val="nil"/>
              <w:left w:val="nil"/>
              <w:bottom w:val="nil"/>
              <w:right w:val="nil"/>
            </w:tcBorders>
            <w:noWrap/>
            <w:vAlign w:val="bottom"/>
            <w:hideMark/>
          </w:tcPr>
          <w:p w14:paraId="1B8DEA9B" w14:textId="77777777" w:rsidR="00226BC6" w:rsidRPr="00B35A85" w:rsidRDefault="00226BC6" w:rsidP="00226BC6">
            <w:pPr>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Computer </w:t>
            </w:r>
          </w:p>
        </w:tc>
        <w:tc>
          <w:tcPr>
            <w:tcW w:w="3474" w:type="dxa"/>
            <w:tcBorders>
              <w:top w:val="nil"/>
              <w:left w:val="nil"/>
              <w:bottom w:val="nil"/>
              <w:right w:val="nil"/>
            </w:tcBorders>
            <w:noWrap/>
            <w:vAlign w:val="bottom"/>
            <w:hideMark/>
          </w:tcPr>
          <w:p w14:paraId="2E6DFACD" w14:textId="77777777" w:rsidR="00226BC6" w:rsidRPr="00B35A85" w:rsidRDefault="000E7F1E" w:rsidP="00226BC6">
            <w:pPr>
              <w:jc w:val="right"/>
              <w:rPr>
                <w:rFonts w:ascii="Times New Roman" w:hAnsi="Times New Roman" w:cs="Times New Roman"/>
                <w:color w:val="000000"/>
                <w:sz w:val="20"/>
                <w:szCs w:val="20"/>
              </w:rPr>
            </w:pPr>
            <w:r>
              <w:rPr>
                <w:rFonts w:ascii="Times New Roman" w:hAnsi="Times New Roman" w:cs="Times New Roman"/>
                <w:color w:val="000000"/>
                <w:sz w:val="20"/>
                <w:szCs w:val="20"/>
              </w:rPr>
              <w:t>Computer Programming Basics</w:t>
            </w:r>
            <w:r w:rsidR="00226BC6" w:rsidRPr="00B35A85">
              <w:rPr>
                <w:rFonts w:ascii="Times New Roman" w:hAnsi="Times New Roman" w:cs="Times New Roman"/>
                <w:color w:val="000000"/>
                <w:sz w:val="20"/>
                <w:szCs w:val="20"/>
              </w:rPr>
              <w:t>*</w:t>
            </w:r>
          </w:p>
        </w:tc>
        <w:tc>
          <w:tcPr>
            <w:tcW w:w="666" w:type="dxa"/>
            <w:tcBorders>
              <w:top w:val="nil"/>
              <w:left w:val="nil"/>
              <w:bottom w:val="nil"/>
              <w:right w:val="nil"/>
            </w:tcBorders>
            <w:noWrap/>
            <w:vAlign w:val="bottom"/>
            <w:hideMark/>
          </w:tcPr>
          <w:p w14:paraId="4C3B50AE" w14:textId="77777777" w:rsidR="00226BC6" w:rsidRPr="00B35A85" w:rsidRDefault="00226BC6" w:rsidP="00226BC6">
            <w:pPr>
              <w:jc w:val="right"/>
              <w:rPr>
                <w:rFonts w:ascii="Times New Roman" w:hAnsi="Times New Roman" w:cs="Times New Roman"/>
                <w:color w:val="000000"/>
                <w:sz w:val="20"/>
                <w:szCs w:val="20"/>
              </w:rPr>
            </w:pPr>
            <w:r w:rsidRPr="00B35A85">
              <w:rPr>
                <w:rFonts w:ascii="Times New Roman" w:hAnsi="Times New Roman" w:cs="Times New Roman"/>
                <w:color w:val="000000"/>
                <w:sz w:val="20"/>
                <w:szCs w:val="20"/>
              </w:rPr>
              <w:t>0.952</w:t>
            </w:r>
          </w:p>
        </w:tc>
        <w:tc>
          <w:tcPr>
            <w:tcW w:w="1260" w:type="dxa"/>
            <w:tcBorders>
              <w:top w:val="nil"/>
              <w:left w:val="nil"/>
              <w:bottom w:val="nil"/>
              <w:right w:val="nil"/>
            </w:tcBorders>
            <w:noWrap/>
            <w:vAlign w:val="bottom"/>
            <w:hideMark/>
          </w:tcPr>
          <w:p w14:paraId="1A93049F" w14:textId="77777777" w:rsidR="00226BC6" w:rsidRPr="00B35A85" w:rsidRDefault="00226BC6" w:rsidP="00226BC6">
            <w:pPr>
              <w:jc w:val="right"/>
              <w:rPr>
                <w:rFonts w:ascii="Times New Roman" w:hAnsi="Times New Roman" w:cs="Times New Roman"/>
                <w:color w:val="000000"/>
                <w:sz w:val="20"/>
                <w:szCs w:val="20"/>
              </w:rPr>
            </w:pPr>
            <w:r w:rsidRPr="00B35A85">
              <w:rPr>
                <w:rFonts w:ascii="Times New Roman" w:hAnsi="Times New Roman" w:cs="Times New Roman"/>
                <w:color w:val="000000"/>
                <w:sz w:val="20"/>
                <w:szCs w:val="20"/>
              </w:rPr>
              <w:t>1.000</w:t>
            </w:r>
          </w:p>
        </w:tc>
        <w:tc>
          <w:tcPr>
            <w:tcW w:w="1350" w:type="dxa"/>
            <w:tcBorders>
              <w:top w:val="nil"/>
              <w:left w:val="nil"/>
              <w:bottom w:val="nil"/>
              <w:right w:val="nil"/>
            </w:tcBorders>
            <w:noWrap/>
            <w:vAlign w:val="bottom"/>
            <w:hideMark/>
          </w:tcPr>
          <w:p w14:paraId="15250056" w14:textId="77777777" w:rsidR="00226BC6" w:rsidRPr="00B35A85" w:rsidRDefault="00226BC6" w:rsidP="00DF0D36">
            <w:pPr>
              <w:jc w:val="right"/>
              <w:rPr>
                <w:rFonts w:ascii="Times New Roman" w:hAnsi="Times New Roman" w:cs="Times New Roman"/>
                <w:color w:val="000000"/>
                <w:sz w:val="20"/>
                <w:szCs w:val="20"/>
              </w:rPr>
            </w:pPr>
            <w:r w:rsidRPr="00B35A85">
              <w:rPr>
                <w:rFonts w:ascii="Times New Roman" w:hAnsi="Times New Roman" w:cs="Times New Roman"/>
                <w:color w:val="000000"/>
                <w:sz w:val="20"/>
                <w:szCs w:val="20"/>
              </w:rPr>
              <w:t>0.8</w:t>
            </w:r>
            <w:r w:rsidR="00DF0D36">
              <w:rPr>
                <w:rFonts w:ascii="Times New Roman" w:hAnsi="Times New Roman" w:cs="Times New Roman"/>
                <w:color w:val="000000"/>
                <w:sz w:val="20"/>
                <w:szCs w:val="20"/>
              </w:rPr>
              <w:t>27</w:t>
            </w:r>
          </w:p>
        </w:tc>
      </w:tr>
      <w:tr w:rsidR="00226BC6" w:rsidRPr="00B35A85" w14:paraId="4170F512" w14:textId="77777777" w:rsidTr="000E7F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1116" w:type="dxa"/>
            <w:tcBorders>
              <w:top w:val="nil"/>
              <w:left w:val="nil"/>
              <w:bottom w:val="nil"/>
              <w:right w:val="nil"/>
            </w:tcBorders>
            <w:noWrap/>
            <w:vAlign w:val="bottom"/>
            <w:hideMark/>
          </w:tcPr>
          <w:p w14:paraId="2B90F956" w14:textId="77777777" w:rsidR="00226BC6" w:rsidRPr="00B35A85" w:rsidRDefault="00226BC6" w:rsidP="00226BC6">
            <w:pPr>
              <w:jc w:val="right"/>
              <w:rPr>
                <w:rFonts w:ascii="Times New Roman" w:hAnsi="Times New Roman" w:cs="Times New Roman"/>
                <w:b/>
                <w:color w:val="000000"/>
                <w:sz w:val="20"/>
                <w:szCs w:val="20"/>
              </w:rPr>
            </w:pPr>
            <w:r>
              <w:rPr>
                <w:rFonts w:ascii="Times New Roman" w:hAnsi="Times New Roman" w:cs="Times New Roman"/>
                <w:b/>
                <w:color w:val="000000"/>
                <w:sz w:val="20"/>
                <w:szCs w:val="20"/>
              </w:rPr>
              <w:t>Science</w:t>
            </w:r>
          </w:p>
        </w:tc>
        <w:tc>
          <w:tcPr>
            <w:tcW w:w="3474" w:type="dxa"/>
            <w:tcBorders>
              <w:top w:val="nil"/>
              <w:left w:val="nil"/>
              <w:bottom w:val="nil"/>
              <w:right w:val="nil"/>
            </w:tcBorders>
            <w:noWrap/>
            <w:vAlign w:val="bottom"/>
            <w:hideMark/>
          </w:tcPr>
          <w:p w14:paraId="73BA1994" w14:textId="77777777" w:rsidR="00226BC6" w:rsidRPr="00B35A85" w:rsidRDefault="00226BC6" w:rsidP="000E7F1E">
            <w:pPr>
              <w:jc w:val="right"/>
              <w:rPr>
                <w:rFonts w:ascii="Times New Roman" w:hAnsi="Times New Roman" w:cs="Times New Roman"/>
                <w:color w:val="000000"/>
                <w:sz w:val="20"/>
                <w:szCs w:val="20"/>
              </w:rPr>
            </w:pPr>
            <w:r w:rsidRPr="00B35A85">
              <w:rPr>
                <w:rFonts w:ascii="Times New Roman" w:hAnsi="Times New Roman" w:cs="Times New Roman"/>
                <w:color w:val="000000"/>
                <w:sz w:val="20"/>
                <w:szCs w:val="20"/>
              </w:rPr>
              <w:t xml:space="preserve">Object Oriented </w:t>
            </w:r>
            <w:r w:rsidR="000E7F1E" w:rsidRPr="00B35A85">
              <w:rPr>
                <w:rFonts w:ascii="Times New Roman" w:hAnsi="Times New Roman" w:cs="Times New Roman"/>
                <w:color w:val="000000"/>
                <w:sz w:val="20"/>
                <w:szCs w:val="20"/>
              </w:rPr>
              <w:t>Programming</w:t>
            </w:r>
          </w:p>
        </w:tc>
        <w:tc>
          <w:tcPr>
            <w:tcW w:w="666" w:type="dxa"/>
            <w:tcBorders>
              <w:top w:val="nil"/>
              <w:left w:val="nil"/>
              <w:bottom w:val="nil"/>
              <w:right w:val="nil"/>
            </w:tcBorders>
            <w:noWrap/>
            <w:vAlign w:val="bottom"/>
            <w:hideMark/>
          </w:tcPr>
          <w:p w14:paraId="45742B97" w14:textId="77777777" w:rsidR="00226BC6" w:rsidRPr="00B35A85" w:rsidRDefault="00DF0D36" w:rsidP="00226BC6">
            <w:pPr>
              <w:jc w:val="right"/>
              <w:rPr>
                <w:rFonts w:ascii="Times New Roman" w:hAnsi="Times New Roman" w:cs="Times New Roman"/>
                <w:color w:val="000000"/>
                <w:sz w:val="20"/>
                <w:szCs w:val="20"/>
              </w:rPr>
            </w:pPr>
            <w:r>
              <w:rPr>
                <w:rFonts w:ascii="Times New Roman" w:hAnsi="Times New Roman" w:cs="Times New Roman"/>
                <w:color w:val="000000"/>
                <w:sz w:val="20"/>
                <w:szCs w:val="20"/>
              </w:rPr>
              <w:t>0.011</w:t>
            </w:r>
          </w:p>
        </w:tc>
        <w:tc>
          <w:tcPr>
            <w:tcW w:w="1260" w:type="dxa"/>
            <w:tcBorders>
              <w:top w:val="nil"/>
              <w:left w:val="nil"/>
              <w:bottom w:val="nil"/>
              <w:right w:val="nil"/>
            </w:tcBorders>
            <w:noWrap/>
            <w:vAlign w:val="bottom"/>
            <w:hideMark/>
          </w:tcPr>
          <w:p w14:paraId="14B91E31" w14:textId="77777777" w:rsidR="00226BC6" w:rsidRPr="00B35A85" w:rsidRDefault="00DF0D36" w:rsidP="00DF0D36">
            <w:pPr>
              <w:jc w:val="right"/>
              <w:rPr>
                <w:rFonts w:ascii="Times New Roman" w:hAnsi="Times New Roman" w:cs="Times New Roman"/>
                <w:color w:val="000000"/>
                <w:sz w:val="20"/>
                <w:szCs w:val="20"/>
              </w:rPr>
            </w:pPr>
            <w:r>
              <w:rPr>
                <w:rFonts w:ascii="Times New Roman" w:hAnsi="Times New Roman" w:cs="Times New Roman"/>
                <w:color w:val="000000"/>
                <w:sz w:val="20"/>
                <w:szCs w:val="20"/>
              </w:rPr>
              <w:t>0.087</w:t>
            </w:r>
          </w:p>
        </w:tc>
        <w:tc>
          <w:tcPr>
            <w:tcW w:w="1350" w:type="dxa"/>
            <w:tcBorders>
              <w:top w:val="nil"/>
              <w:left w:val="nil"/>
              <w:bottom w:val="nil"/>
              <w:right w:val="nil"/>
            </w:tcBorders>
            <w:noWrap/>
            <w:vAlign w:val="bottom"/>
            <w:hideMark/>
          </w:tcPr>
          <w:p w14:paraId="1CC80B94" w14:textId="77777777" w:rsidR="00226BC6" w:rsidRPr="00B35A85" w:rsidRDefault="00DF0D36" w:rsidP="00226BC6">
            <w:pPr>
              <w:jc w:val="right"/>
              <w:rPr>
                <w:rFonts w:ascii="Times New Roman" w:hAnsi="Times New Roman" w:cs="Times New Roman"/>
                <w:color w:val="000000"/>
                <w:sz w:val="20"/>
                <w:szCs w:val="20"/>
              </w:rPr>
            </w:pPr>
            <w:r>
              <w:rPr>
                <w:rFonts w:ascii="Times New Roman" w:hAnsi="Times New Roman" w:cs="Times New Roman"/>
                <w:color w:val="000000"/>
                <w:sz w:val="20"/>
                <w:szCs w:val="20"/>
              </w:rPr>
              <w:t>0.040</w:t>
            </w:r>
          </w:p>
        </w:tc>
      </w:tr>
      <w:tr w:rsidR="000E7F1E" w:rsidRPr="00B35A85" w14:paraId="56C9F93D" w14:textId="77777777" w:rsidTr="000E7F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1116" w:type="dxa"/>
            <w:tcBorders>
              <w:top w:val="nil"/>
              <w:left w:val="nil"/>
              <w:bottom w:val="nil"/>
              <w:right w:val="nil"/>
            </w:tcBorders>
            <w:noWrap/>
            <w:vAlign w:val="bottom"/>
          </w:tcPr>
          <w:p w14:paraId="2576983F" w14:textId="77777777" w:rsidR="000E7F1E" w:rsidRDefault="000E7F1E" w:rsidP="00226BC6">
            <w:pPr>
              <w:jc w:val="right"/>
              <w:rPr>
                <w:rFonts w:ascii="Times New Roman" w:hAnsi="Times New Roman" w:cs="Times New Roman"/>
                <w:b/>
                <w:sz w:val="20"/>
                <w:szCs w:val="20"/>
              </w:rPr>
            </w:pPr>
          </w:p>
        </w:tc>
        <w:tc>
          <w:tcPr>
            <w:tcW w:w="3474" w:type="dxa"/>
            <w:tcBorders>
              <w:top w:val="nil"/>
              <w:left w:val="nil"/>
              <w:bottom w:val="nil"/>
              <w:right w:val="nil"/>
            </w:tcBorders>
            <w:noWrap/>
            <w:vAlign w:val="bottom"/>
          </w:tcPr>
          <w:p w14:paraId="51BB6128" w14:textId="77777777" w:rsidR="000E7F1E" w:rsidRPr="00B35A85" w:rsidRDefault="000E7F1E" w:rsidP="00226BC6">
            <w:pPr>
              <w:jc w:val="right"/>
              <w:rPr>
                <w:rFonts w:ascii="Times New Roman" w:hAnsi="Times New Roman" w:cs="Times New Roman"/>
                <w:sz w:val="20"/>
                <w:szCs w:val="20"/>
              </w:rPr>
            </w:pPr>
            <w:r>
              <w:rPr>
                <w:rFonts w:ascii="Times New Roman" w:hAnsi="Times New Roman" w:cs="Times New Roman"/>
                <w:sz w:val="20"/>
                <w:szCs w:val="20"/>
              </w:rPr>
              <w:t>Discrete Structures</w:t>
            </w:r>
          </w:p>
        </w:tc>
        <w:tc>
          <w:tcPr>
            <w:tcW w:w="666" w:type="dxa"/>
            <w:tcBorders>
              <w:top w:val="nil"/>
              <w:left w:val="nil"/>
              <w:bottom w:val="nil"/>
              <w:right w:val="nil"/>
            </w:tcBorders>
            <w:noWrap/>
            <w:vAlign w:val="bottom"/>
          </w:tcPr>
          <w:p w14:paraId="1C8B252F" w14:textId="77777777" w:rsidR="000E7F1E" w:rsidRPr="00B35A85" w:rsidRDefault="00DF0D36" w:rsidP="00226BC6">
            <w:pPr>
              <w:jc w:val="right"/>
              <w:rPr>
                <w:rFonts w:ascii="Times New Roman" w:hAnsi="Times New Roman" w:cs="Times New Roman"/>
                <w:sz w:val="20"/>
                <w:szCs w:val="20"/>
              </w:rPr>
            </w:pPr>
            <w:r>
              <w:rPr>
                <w:rFonts w:ascii="Times New Roman" w:hAnsi="Times New Roman" w:cs="Times New Roman"/>
                <w:sz w:val="20"/>
                <w:szCs w:val="20"/>
              </w:rPr>
              <w:t>0.001</w:t>
            </w:r>
          </w:p>
        </w:tc>
        <w:tc>
          <w:tcPr>
            <w:tcW w:w="1260" w:type="dxa"/>
            <w:tcBorders>
              <w:top w:val="nil"/>
              <w:left w:val="nil"/>
              <w:bottom w:val="nil"/>
              <w:right w:val="nil"/>
            </w:tcBorders>
            <w:noWrap/>
            <w:vAlign w:val="bottom"/>
          </w:tcPr>
          <w:p w14:paraId="211E33E6" w14:textId="77777777" w:rsidR="000E7F1E" w:rsidRPr="00B35A85" w:rsidRDefault="00DF0D36" w:rsidP="00226BC6">
            <w:pPr>
              <w:jc w:val="right"/>
              <w:rPr>
                <w:rFonts w:ascii="Times New Roman" w:hAnsi="Times New Roman" w:cs="Times New Roman"/>
                <w:sz w:val="20"/>
                <w:szCs w:val="20"/>
              </w:rPr>
            </w:pPr>
            <w:r>
              <w:rPr>
                <w:rFonts w:ascii="Times New Roman" w:hAnsi="Times New Roman" w:cs="Times New Roman"/>
                <w:sz w:val="20"/>
                <w:szCs w:val="20"/>
              </w:rPr>
              <w:t>0.098</w:t>
            </w:r>
          </w:p>
        </w:tc>
        <w:tc>
          <w:tcPr>
            <w:tcW w:w="1350" w:type="dxa"/>
            <w:tcBorders>
              <w:top w:val="nil"/>
              <w:left w:val="nil"/>
              <w:bottom w:val="nil"/>
              <w:right w:val="nil"/>
            </w:tcBorders>
            <w:noWrap/>
            <w:vAlign w:val="bottom"/>
          </w:tcPr>
          <w:p w14:paraId="1EB9BE65" w14:textId="77777777" w:rsidR="000E7F1E" w:rsidRPr="00B35A85" w:rsidRDefault="00DF0D36" w:rsidP="00226BC6">
            <w:pPr>
              <w:jc w:val="right"/>
              <w:rPr>
                <w:rFonts w:ascii="Times New Roman" w:hAnsi="Times New Roman" w:cs="Times New Roman"/>
                <w:sz w:val="20"/>
                <w:szCs w:val="20"/>
              </w:rPr>
            </w:pPr>
            <w:r>
              <w:rPr>
                <w:rFonts w:ascii="Times New Roman" w:hAnsi="Times New Roman" w:cs="Times New Roman"/>
                <w:sz w:val="20"/>
                <w:szCs w:val="20"/>
              </w:rPr>
              <w:t>0.054</w:t>
            </w:r>
          </w:p>
        </w:tc>
      </w:tr>
      <w:tr w:rsidR="000E7F1E" w:rsidRPr="00B35A85" w14:paraId="5A36B45F" w14:textId="77777777" w:rsidTr="00DF0D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1116" w:type="dxa"/>
            <w:tcBorders>
              <w:top w:val="nil"/>
              <w:left w:val="nil"/>
              <w:bottom w:val="nil"/>
              <w:right w:val="nil"/>
            </w:tcBorders>
            <w:noWrap/>
            <w:vAlign w:val="bottom"/>
          </w:tcPr>
          <w:p w14:paraId="1D6B7D1E" w14:textId="77777777" w:rsidR="000E7F1E" w:rsidRDefault="000E7F1E" w:rsidP="00226BC6">
            <w:pPr>
              <w:jc w:val="right"/>
              <w:rPr>
                <w:rFonts w:ascii="Times New Roman" w:hAnsi="Times New Roman" w:cs="Times New Roman"/>
                <w:b/>
                <w:sz w:val="20"/>
                <w:szCs w:val="20"/>
              </w:rPr>
            </w:pPr>
          </w:p>
        </w:tc>
        <w:tc>
          <w:tcPr>
            <w:tcW w:w="3474" w:type="dxa"/>
            <w:tcBorders>
              <w:top w:val="nil"/>
              <w:left w:val="nil"/>
              <w:bottom w:val="nil"/>
              <w:right w:val="nil"/>
            </w:tcBorders>
            <w:noWrap/>
            <w:vAlign w:val="bottom"/>
          </w:tcPr>
          <w:p w14:paraId="3FABA737" w14:textId="77777777" w:rsidR="000E7F1E" w:rsidRDefault="000E7F1E" w:rsidP="00226BC6">
            <w:pPr>
              <w:jc w:val="right"/>
              <w:rPr>
                <w:rFonts w:ascii="Times New Roman" w:hAnsi="Times New Roman" w:cs="Times New Roman"/>
                <w:sz w:val="20"/>
                <w:szCs w:val="20"/>
              </w:rPr>
            </w:pPr>
            <w:r>
              <w:rPr>
                <w:rFonts w:ascii="Times New Roman" w:hAnsi="Times New Roman" w:cs="Times New Roman"/>
                <w:sz w:val="20"/>
                <w:szCs w:val="20"/>
              </w:rPr>
              <w:t>Computer Architecture (Applications)</w:t>
            </w:r>
          </w:p>
        </w:tc>
        <w:tc>
          <w:tcPr>
            <w:tcW w:w="666" w:type="dxa"/>
            <w:tcBorders>
              <w:top w:val="nil"/>
              <w:left w:val="nil"/>
              <w:bottom w:val="nil"/>
              <w:right w:val="nil"/>
            </w:tcBorders>
            <w:noWrap/>
            <w:vAlign w:val="bottom"/>
          </w:tcPr>
          <w:p w14:paraId="373AAF1D" w14:textId="77777777" w:rsidR="000E7F1E" w:rsidRPr="00B35A85" w:rsidRDefault="00DF0D36" w:rsidP="00DF0D36">
            <w:pPr>
              <w:jc w:val="right"/>
              <w:rPr>
                <w:rFonts w:ascii="Times New Roman" w:hAnsi="Times New Roman" w:cs="Times New Roman"/>
                <w:sz w:val="20"/>
                <w:szCs w:val="20"/>
              </w:rPr>
            </w:pPr>
            <w:r>
              <w:rPr>
                <w:rFonts w:ascii="Times New Roman" w:hAnsi="Times New Roman" w:cs="Times New Roman"/>
                <w:sz w:val="20"/>
                <w:szCs w:val="20"/>
              </w:rPr>
              <w:t>0.003</w:t>
            </w:r>
          </w:p>
        </w:tc>
        <w:tc>
          <w:tcPr>
            <w:tcW w:w="1260" w:type="dxa"/>
            <w:tcBorders>
              <w:top w:val="nil"/>
              <w:left w:val="nil"/>
              <w:bottom w:val="nil"/>
              <w:right w:val="nil"/>
            </w:tcBorders>
            <w:noWrap/>
            <w:vAlign w:val="bottom"/>
          </w:tcPr>
          <w:p w14:paraId="615CC5F9" w14:textId="77777777" w:rsidR="000E7F1E" w:rsidRPr="00B35A85" w:rsidRDefault="00DF0D36" w:rsidP="00226BC6">
            <w:pPr>
              <w:jc w:val="right"/>
              <w:rPr>
                <w:rFonts w:ascii="Times New Roman" w:hAnsi="Times New Roman" w:cs="Times New Roman"/>
                <w:sz w:val="20"/>
                <w:szCs w:val="20"/>
              </w:rPr>
            </w:pPr>
            <w:r>
              <w:rPr>
                <w:rFonts w:ascii="Times New Roman" w:hAnsi="Times New Roman" w:cs="Times New Roman"/>
                <w:sz w:val="20"/>
                <w:szCs w:val="20"/>
              </w:rPr>
              <w:t>0.087</w:t>
            </w:r>
          </w:p>
        </w:tc>
        <w:tc>
          <w:tcPr>
            <w:tcW w:w="1350" w:type="dxa"/>
            <w:tcBorders>
              <w:top w:val="nil"/>
              <w:left w:val="nil"/>
              <w:bottom w:val="nil"/>
              <w:right w:val="nil"/>
            </w:tcBorders>
            <w:noWrap/>
            <w:vAlign w:val="bottom"/>
          </w:tcPr>
          <w:p w14:paraId="3F23C483" w14:textId="77777777" w:rsidR="000E7F1E" w:rsidRPr="00B35A85" w:rsidRDefault="00DF0D36" w:rsidP="00226BC6">
            <w:pPr>
              <w:jc w:val="right"/>
              <w:rPr>
                <w:rFonts w:ascii="Times New Roman" w:hAnsi="Times New Roman" w:cs="Times New Roman"/>
                <w:sz w:val="20"/>
                <w:szCs w:val="20"/>
              </w:rPr>
            </w:pPr>
            <w:r>
              <w:rPr>
                <w:rFonts w:ascii="Times New Roman" w:hAnsi="Times New Roman" w:cs="Times New Roman"/>
                <w:sz w:val="20"/>
                <w:szCs w:val="20"/>
              </w:rPr>
              <w:t>0.046</w:t>
            </w:r>
          </w:p>
        </w:tc>
      </w:tr>
      <w:tr w:rsidR="00DF0D36" w:rsidRPr="00B35A85" w14:paraId="763A108A" w14:textId="77777777" w:rsidTr="00226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1116" w:type="dxa"/>
            <w:tcBorders>
              <w:top w:val="nil"/>
              <w:left w:val="nil"/>
              <w:bottom w:val="single" w:sz="4" w:space="0" w:color="auto"/>
              <w:right w:val="nil"/>
            </w:tcBorders>
            <w:noWrap/>
            <w:vAlign w:val="bottom"/>
          </w:tcPr>
          <w:p w14:paraId="7FB29818" w14:textId="77777777" w:rsidR="00DF0D36" w:rsidRDefault="00DF0D36" w:rsidP="00226BC6">
            <w:pPr>
              <w:jc w:val="right"/>
              <w:rPr>
                <w:rFonts w:ascii="Times New Roman" w:hAnsi="Times New Roman" w:cs="Times New Roman"/>
                <w:b/>
                <w:sz w:val="20"/>
                <w:szCs w:val="20"/>
              </w:rPr>
            </w:pPr>
          </w:p>
        </w:tc>
        <w:tc>
          <w:tcPr>
            <w:tcW w:w="3474" w:type="dxa"/>
            <w:tcBorders>
              <w:top w:val="nil"/>
              <w:left w:val="nil"/>
              <w:bottom w:val="single" w:sz="4" w:space="0" w:color="auto"/>
              <w:right w:val="nil"/>
            </w:tcBorders>
            <w:noWrap/>
            <w:vAlign w:val="bottom"/>
          </w:tcPr>
          <w:p w14:paraId="0181CD07" w14:textId="77777777" w:rsidR="00DF0D36" w:rsidRDefault="00DF0D36" w:rsidP="00DF0D36">
            <w:pPr>
              <w:jc w:val="right"/>
              <w:rPr>
                <w:rFonts w:ascii="Times New Roman" w:hAnsi="Times New Roman" w:cs="Times New Roman"/>
                <w:sz w:val="20"/>
                <w:szCs w:val="20"/>
              </w:rPr>
            </w:pPr>
            <w:r>
              <w:rPr>
                <w:rFonts w:ascii="Times New Roman" w:hAnsi="Times New Roman" w:cs="Times New Roman"/>
                <w:sz w:val="20"/>
                <w:szCs w:val="20"/>
              </w:rPr>
              <w:t>Special Courses (e.g., video games)</w:t>
            </w:r>
          </w:p>
        </w:tc>
        <w:tc>
          <w:tcPr>
            <w:tcW w:w="666" w:type="dxa"/>
            <w:tcBorders>
              <w:top w:val="nil"/>
              <w:left w:val="nil"/>
              <w:bottom w:val="single" w:sz="4" w:space="0" w:color="auto"/>
              <w:right w:val="nil"/>
            </w:tcBorders>
            <w:noWrap/>
            <w:vAlign w:val="bottom"/>
          </w:tcPr>
          <w:p w14:paraId="6BA34634" w14:textId="77777777" w:rsidR="00DF0D36" w:rsidRDefault="00DF0D36" w:rsidP="00226BC6">
            <w:pPr>
              <w:jc w:val="right"/>
              <w:rPr>
                <w:rFonts w:ascii="Times New Roman" w:hAnsi="Times New Roman" w:cs="Times New Roman"/>
                <w:sz w:val="20"/>
                <w:szCs w:val="20"/>
              </w:rPr>
            </w:pPr>
            <w:r>
              <w:rPr>
                <w:rFonts w:ascii="Times New Roman" w:hAnsi="Times New Roman" w:cs="Times New Roman"/>
                <w:sz w:val="20"/>
                <w:szCs w:val="20"/>
              </w:rPr>
              <w:t>0.005</w:t>
            </w:r>
          </w:p>
        </w:tc>
        <w:tc>
          <w:tcPr>
            <w:tcW w:w="1260" w:type="dxa"/>
            <w:tcBorders>
              <w:top w:val="nil"/>
              <w:left w:val="nil"/>
              <w:bottom w:val="single" w:sz="4" w:space="0" w:color="auto"/>
              <w:right w:val="nil"/>
            </w:tcBorders>
            <w:noWrap/>
            <w:vAlign w:val="bottom"/>
          </w:tcPr>
          <w:p w14:paraId="71C92FBA" w14:textId="77777777" w:rsidR="00DF0D36" w:rsidRPr="00B35A85" w:rsidRDefault="00DF0D36" w:rsidP="00226BC6">
            <w:pPr>
              <w:jc w:val="right"/>
              <w:rPr>
                <w:rFonts w:ascii="Times New Roman" w:hAnsi="Times New Roman" w:cs="Times New Roman"/>
                <w:sz w:val="20"/>
                <w:szCs w:val="20"/>
              </w:rPr>
            </w:pPr>
            <w:r>
              <w:rPr>
                <w:rFonts w:ascii="Times New Roman" w:hAnsi="Times New Roman" w:cs="Times New Roman"/>
                <w:sz w:val="20"/>
                <w:szCs w:val="20"/>
              </w:rPr>
              <w:t>0.032</w:t>
            </w:r>
          </w:p>
        </w:tc>
        <w:tc>
          <w:tcPr>
            <w:tcW w:w="1350" w:type="dxa"/>
            <w:tcBorders>
              <w:top w:val="nil"/>
              <w:left w:val="nil"/>
              <w:bottom w:val="single" w:sz="4" w:space="0" w:color="auto"/>
              <w:right w:val="nil"/>
            </w:tcBorders>
            <w:noWrap/>
            <w:vAlign w:val="bottom"/>
          </w:tcPr>
          <w:p w14:paraId="4E38DB18" w14:textId="77777777" w:rsidR="00DF0D36" w:rsidRPr="00B35A85" w:rsidRDefault="00DF0D36" w:rsidP="00226BC6">
            <w:pPr>
              <w:jc w:val="right"/>
              <w:rPr>
                <w:rFonts w:ascii="Times New Roman" w:hAnsi="Times New Roman" w:cs="Times New Roman"/>
                <w:sz w:val="20"/>
                <w:szCs w:val="20"/>
              </w:rPr>
            </w:pPr>
            <w:r>
              <w:rPr>
                <w:rFonts w:ascii="Times New Roman" w:hAnsi="Times New Roman" w:cs="Times New Roman"/>
                <w:sz w:val="20"/>
                <w:szCs w:val="20"/>
              </w:rPr>
              <w:t>0.017</w:t>
            </w:r>
          </w:p>
        </w:tc>
      </w:tr>
    </w:tbl>
    <w:p w14:paraId="2C9982C2" w14:textId="77777777" w:rsidR="00226BC6" w:rsidRPr="00B35A85" w:rsidRDefault="00226BC6" w:rsidP="00226BC6">
      <w:pPr>
        <w:rPr>
          <w:rFonts w:ascii="Times New Roman" w:hAnsi="Times New Roman" w:cs="Times New Roman"/>
          <w:sz w:val="20"/>
        </w:rPr>
      </w:pPr>
      <w:r w:rsidRPr="00B35A85">
        <w:rPr>
          <w:rFonts w:ascii="Times New Roman" w:hAnsi="Times New Roman" w:cs="Times New Roman"/>
          <w:sz w:val="20"/>
        </w:rPr>
        <w:t>NOTE: Due to inconsistencies in curriculum we merged introduction to computer science with introductory computer language courses.</w:t>
      </w:r>
    </w:p>
    <w:p w14:paraId="183A1370" w14:textId="77777777" w:rsidR="00226BC6" w:rsidRDefault="00226BC6" w:rsidP="005011F7">
      <w:pPr>
        <w:pStyle w:val="Normal1"/>
        <w:contextualSpacing/>
        <w:rPr>
          <w:rFonts w:ascii="Times New Roman" w:eastAsia="Times New Roman" w:hAnsi="Times New Roman" w:cs="Times New Roman"/>
          <w:color w:val="auto"/>
          <w:sz w:val="24"/>
          <w:szCs w:val="24"/>
        </w:rPr>
      </w:pPr>
    </w:p>
    <w:p w14:paraId="070863B1" w14:textId="77777777" w:rsidR="00226BC6" w:rsidRDefault="00226BC6" w:rsidP="00226BC6">
      <w:pPr>
        <w:spacing w:line="240" w:lineRule="auto"/>
        <w:rPr>
          <w:rFonts w:ascii="Times New Roman" w:hAnsi="Times New Roman" w:cs="Times New Roman"/>
          <w:sz w:val="24"/>
          <w:szCs w:val="24"/>
        </w:rPr>
      </w:pPr>
    </w:p>
    <w:p w14:paraId="67E53306" w14:textId="77777777" w:rsidR="00226BC6" w:rsidRDefault="00226BC6" w:rsidP="00226BC6">
      <w:pPr>
        <w:spacing w:line="240" w:lineRule="auto"/>
        <w:rPr>
          <w:rFonts w:ascii="Times New Roman" w:hAnsi="Times New Roman" w:cs="Times New Roman"/>
          <w:sz w:val="24"/>
          <w:szCs w:val="24"/>
        </w:rPr>
      </w:pPr>
    </w:p>
    <w:p w14:paraId="5EE35015" w14:textId="77777777" w:rsidR="00226BC6" w:rsidRDefault="00226BC6" w:rsidP="00226BC6">
      <w:pPr>
        <w:spacing w:line="240" w:lineRule="auto"/>
        <w:rPr>
          <w:rFonts w:ascii="Times New Roman" w:hAnsi="Times New Roman" w:cs="Times New Roman"/>
          <w:sz w:val="24"/>
          <w:szCs w:val="24"/>
        </w:rPr>
      </w:pPr>
    </w:p>
    <w:p w14:paraId="51842CD7" w14:textId="77777777" w:rsidR="00226BC6" w:rsidRDefault="00226BC6" w:rsidP="00226BC6">
      <w:pPr>
        <w:spacing w:line="240" w:lineRule="auto"/>
        <w:rPr>
          <w:rFonts w:ascii="Times New Roman" w:hAnsi="Times New Roman" w:cs="Times New Roman"/>
          <w:sz w:val="24"/>
          <w:szCs w:val="24"/>
        </w:rPr>
      </w:pPr>
    </w:p>
    <w:p w14:paraId="56B90D92" w14:textId="77777777" w:rsidR="00226BC6" w:rsidRDefault="00226BC6" w:rsidP="00226BC6">
      <w:pPr>
        <w:spacing w:line="240" w:lineRule="auto"/>
        <w:rPr>
          <w:rFonts w:ascii="Times New Roman" w:hAnsi="Times New Roman" w:cs="Times New Roman"/>
          <w:sz w:val="24"/>
          <w:szCs w:val="24"/>
        </w:rPr>
      </w:pPr>
    </w:p>
    <w:p w14:paraId="144A6F3C" w14:textId="77777777" w:rsidR="00226BC6" w:rsidRDefault="00226BC6" w:rsidP="00226BC6">
      <w:pPr>
        <w:spacing w:line="240" w:lineRule="auto"/>
        <w:rPr>
          <w:rFonts w:ascii="Times New Roman" w:hAnsi="Times New Roman" w:cs="Times New Roman"/>
          <w:sz w:val="24"/>
          <w:szCs w:val="24"/>
        </w:rPr>
      </w:pPr>
    </w:p>
    <w:p w14:paraId="069A186F" w14:textId="77777777" w:rsidR="00226BC6" w:rsidRDefault="00226BC6" w:rsidP="00226BC6">
      <w:pPr>
        <w:spacing w:line="240" w:lineRule="auto"/>
        <w:rPr>
          <w:rFonts w:ascii="Times New Roman" w:hAnsi="Times New Roman" w:cs="Times New Roman"/>
          <w:sz w:val="24"/>
          <w:szCs w:val="24"/>
        </w:rPr>
      </w:pPr>
    </w:p>
    <w:p w14:paraId="60A80050" w14:textId="77777777" w:rsidR="001332D4" w:rsidRDefault="001332D4" w:rsidP="00226BC6">
      <w:pPr>
        <w:spacing w:line="240" w:lineRule="auto"/>
        <w:rPr>
          <w:rFonts w:ascii="Times New Roman" w:hAnsi="Times New Roman" w:cs="Times New Roman"/>
          <w:sz w:val="24"/>
          <w:szCs w:val="24"/>
        </w:rPr>
        <w:sectPr w:rsidR="001332D4" w:rsidSect="001332D4">
          <w:headerReference w:type="default" r:id="rId18"/>
          <w:pgSz w:w="12240" w:h="15840"/>
          <w:pgMar w:top="1440" w:right="1440" w:bottom="1440" w:left="1440" w:header="720" w:footer="720" w:gutter="0"/>
          <w:pgNumType w:start="1"/>
          <w:cols w:space="720"/>
          <w:docGrid w:linePitch="299"/>
        </w:sectPr>
      </w:pPr>
    </w:p>
    <w:p w14:paraId="2820DA6D" w14:textId="77777777" w:rsidR="00400D53" w:rsidRDefault="00104830" w:rsidP="00104830">
      <w:pPr>
        <w:spacing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lastRenderedPageBreak/>
        <w:t>Figure 1</w:t>
      </w:r>
      <w:r w:rsidR="00761EA3" w:rsidRPr="00761EA3">
        <w:rPr>
          <w:rFonts w:ascii="Times New Roman" w:eastAsia="Times New Roman" w:hAnsi="Times New Roman" w:cs="Times New Roman"/>
          <w:color w:val="auto"/>
          <w:sz w:val="24"/>
          <w:szCs w:val="24"/>
        </w:rPr>
        <w:t>:</w:t>
      </w:r>
      <w:r w:rsidR="00761EA3">
        <w:rPr>
          <w:rFonts w:ascii="Times New Roman" w:eastAsia="Times New Roman" w:hAnsi="Times New Roman" w:cs="Times New Roman"/>
          <w:color w:val="auto"/>
          <w:sz w:val="24"/>
          <w:szCs w:val="24"/>
        </w:rPr>
        <w:t xml:space="preserve"> </w:t>
      </w:r>
      <w:r w:rsidR="00B208B8" w:rsidRPr="00B208B8">
        <w:rPr>
          <w:rFonts w:ascii="Times New Roman" w:eastAsia="Times New Roman" w:hAnsi="Times New Roman" w:cs="Times New Roman"/>
          <w:color w:val="auto"/>
          <w:sz w:val="24"/>
          <w:szCs w:val="24"/>
        </w:rPr>
        <w:t xml:space="preserve">Comparison of student enrollment in </w:t>
      </w:r>
      <w:r w:rsidR="00761EA3">
        <w:rPr>
          <w:rFonts w:ascii="Times New Roman" w:eastAsia="Times New Roman" w:hAnsi="Times New Roman" w:cs="Times New Roman"/>
          <w:color w:val="auto"/>
          <w:sz w:val="24"/>
          <w:szCs w:val="24"/>
        </w:rPr>
        <w:t>any STEM with students who enrolled in each critical pair.</w:t>
      </w:r>
      <w:r w:rsidR="00761EA3">
        <w:rPr>
          <w:rFonts w:ascii="Times New Roman" w:eastAsia="Times New Roman" w:hAnsi="Times New Roman" w:cs="Times New Roman"/>
          <w:noProof/>
          <w:color w:val="auto"/>
          <w:sz w:val="24"/>
          <w:szCs w:val="24"/>
        </w:rPr>
        <w:drawing>
          <wp:anchor distT="0" distB="0" distL="114300" distR="114300" simplePos="0" relativeHeight="251660288" behindDoc="1" locked="0" layoutInCell="1" allowOverlap="1" wp14:anchorId="267F397A" wp14:editId="79CCBBE2">
            <wp:simplePos x="0" y="0"/>
            <wp:positionH relativeFrom="column">
              <wp:posOffset>1409700</wp:posOffset>
            </wp:positionH>
            <wp:positionV relativeFrom="paragraph">
              <wp:posOffset>0</wp:posOffset>
            </wp:positionV>
            <wp:extent cx="4851400" cy="7629525"/>
            <wp:effectExtent l="1409700" t="0" r="1397000" b="0"/>
            <wp:wrapTight wrapText="bothSides">
              <wp:wrapPolygon edited="0">
                <wp:start x="7" y="12328"/>
                <wp:lineTo x="1364" y="12328"/>
                <wp:lineTo x="2127" y="14000"/>
                <wp:lineTo x="5520" y="14108"/>
                <wp:lineTo x="9507" y="14108"/>
                <wp:lineTo x="9591" y="14162"/>
                <wp:lineTo x="10864" y="15187"/>
                <wp:lineTo x="11712" y="19231"/>
                <wp:lineTo x="11966" y="19879"/>
                <wp:lineTo x="13578" y="19879"/>
                <wp:lineTo x="14002" y="21443"/>
                <wp:lineTo x="14171" y="21658"/>
                <wp:lineTo x="21381" y="21658"/>
                <wp:lineTo x="21381" y="-22"/>
                <wp:lineTo x="11881" y="-22"/>
                <wp:lineTo x="11797" y="787"/>
                <wp:lineTo x="10864" y="6557"/>
                <wp:lineTo x="9591" y="7474"/>
                <wp:lineTo x="9507" y="7528"/>
                <wp:lineTo x="8234" y="7636"/>
                <wp:lineTo x="8149" y="7636"/>
                <wp:lineTo x="6877" y="7582"/>
                <wp:lineTo x="6792" y="7582"/>
                <wp:lineTo x="5520" y="7636"/>
                <wp:lineTo x="4078" y="7582"/>
                <wp:lineTo x="2806" y="7636"/>
                <wp:lineTo x="2721" y="7636"/>
                <wp:lineTo x="1449" y="7582"/>
                <wp:lineTo x="1364" y="7582"/>
                <wp:lineTo x="92" y="7636"/>
                <wp:lineTo x="7" y="7636"/>
                <wp:lineTo x="7" y="12328"/>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rot="5400000">
                      <a:off x="0" y="0"/>
                      <a:ext cx="4851400" cy="7629525"/>
                    </a:xfrm>
                    <a:prstGeom prst="rect">
                      <a:avLst/>
                    </a:prstGeom>
                    <a:noFill/>
                  </pic:spPr>
                </pic:pic>
              </a:graphicData>
            </a:graphic>
          </wp:anchor>
        </w:drawing>
      </w:r>
      <w:r w:rsidR="00761EA3">
        <w:rPr>
          <w:rFonts w:ascii="Times New Roman" w:eastAsia="Times New Roman" w:hAnsi="Times New Roman" w:cs="Times New Roman"/>
          <w:color w:val="auto"/>
          <w:sz w:val="24"/>
          <w:szCs w:val="24"/>
        </w:rPr>
        <w:t xml:space="preserve"> </w:t>
      </w:r>
    </w:p>
    <w:p w14:paraId="0F684784" w14:textId="77777777" w:rsidR="0028408E" w:rsidRDefault="004B3528" w:rsidP="0028408E">
      <w:pPr>
        <w:pStyle w:val="Normal1"/>
        <w:contextualSpacing/>
        <w:rPr>
          <w:rFonts w:ascii="Times New Roman" w:eastAsia="Times New Roman" w:hAnsi="Times New Roman" w:cs="Times New Roman"/>
          <w:b/>
          <w:color w:val="auto"/>
          <w:sz w:val="24"/>
          <w:szCs w:val="24"/>
        </w:rPr>
      </w:pPr>
      <w:r>
        <w:rPr>
          <w:rFonts w:ascii="Times New Roman" w:eastAsia="Times New Roman" w:hAnsi="Times New Roman" w:cs="Times New Roman"/>
          <w:noProof/>
          <w:color w:val="auto"/>
          <w:sz w:val="24"/>
          <w:szCs w:val="24"/>
          <w:lang w:eastAsia="zh-TW"/>
        </w:rPr>
        <w:lastRenderedPageBreak/>
        <w:pict w14:anchorId="3E50C0A4">
          <v:shapetype id="_x0000_t202" coordsize="21600,21600" o:spt="202" path="m,l,21600r21600,l21600,xe">
            <v:stroke joinstyle="miter"/>
            <v:path gradientshapeok="t" o:connecttype="rect"/>
          </v:shapetype>
          <v:shape id="_x0000_s1029" type="#_x0000_t202" style="position:absolute;margin-left:4.65pt;margin-top:-32.25pt;width:599.65pt;height:33.05pt;z-index:251662336;mso-height-percent:200;mso-height-percent:200;mso-width-relative:margin;mso-height-relative:margin" filled="f" stroked="f">
            <v:textbox style="mso-fit-shape-to-text:t">
              <w:txbxContent>
                <w:p w14:paraId="5A77F6B7" w14:textId="77777777" w:rsidR="004B3528" w:rsidRDefault="004B3528">
                  <w:r>
                    <w:rPr>
                      <w:rFonts w:ascii="Times New Roman" w:eastAsia="Times New Roman" w:hAnsi="Times New Roman" w:cs="Times New Roman"/>
                      <w:color w:val="auto"/>
                      <w:sz w:val="24"/>
                      <w:szCs w:val="24"/>
                    </w:rPr>
                    <w:t>Figure 2: Comparison of student enrollment in the calculus I/PS&amp;E I critical pair by sequence of course enrollment</w:t>
                  </w:r>
                </w:p>
              </w:txbxContent>
            </v:textbox>
          </v:shape>
        </w:pict>
      </w:r>
      <w:r w:rsidR="00400D53">
        <w:rPr>
          <w:rFonts w:ascii="Times New Roman" w:eastAsia="Times New Roman" w:hAnsi="Times New Roman" w:cs="Times New Roman"/>
          <w:b/>
          <w:noProof/>
          <w:color w:val="auto"/>
          <w:sz w:val="24"/>
          <w:szCs w:val="24"/>
        </w:rPr>
        <w:drawing>
          <wp:inline distT="0" distB="0" distL="0" distR="0" wp14:anchorId="3AFB3104" wp14:editId="51942D56">
            <wp:extent cx="7860643" cy="5029200"/>
            <wp:effectExtent l="19050" t="0" r="7007"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864475" cy="5031652"/>
                    </a:xfrm>
                    <a:prstGeom prst="rect">
                      <a:avLst/>
                    </a:prstGeom>
                    <a:noFill/>
                  </pic:spPr>
                </pic:pic>
              </a:graphicData>
            </a:graphic>
          </wp:inline>
        </w:drawing>
      </w:r>
      <w:r w:rsidR="0028408E" w:rsidRPr="0028408E">
        <w:rPr>
          <w:rFonts w:ascii="Times New Roman" w:eastAsia="Times New Roman" w:hAnsi="Times New Roman" w:cs="Times New Roman"/>
          <w:b/>
          <w:color w:val="auto"/>
          <w:sz w:val="24"/>
          <w:szCs w:val="24"/>
        </w:rPr>
        <w:t xml:space="preserve"> </w:t>
      </w:r>
    </w:p>
    <w:p w14:paraId="2E8C441C" w14:textId="77777777" w:rsidR="006B3D78" w:rsidRDefault="006B3D78" w:rsidP="0028408E">
      <w:pPr>
        <w:pStyle w:val="Normal1"/>
        <w:contextualSpacing/>
        <w:rPr>
          <w:rFonts w:ascii="Times New Roman" w:eastAsia="Times New Roman" w:hAnsi="Times New Roman" w:cs="Times New Roman"/>
          <w:b/>
          <w:color w:val="auto"/>
          <w:sz w:val="24"/>
          <w:szCs w:val="24"/>
        </w:rPr>
      </w:pPr>
    </w:p>
    <w:p w14:paraId="561D9FA4" w14:textId="77777777" w:rsidR="00104830" w:rsidRDefault="00104830" w:rsidP="006B3D78">
      <w:pPr>
        <w:pStyle w:val="Normal1"/>
        <w:rPr>
          <w:rFonts w:ascii="Times New Roman" w:eastAsia="Times New Roman" w:hAnsi="Times New Roman" w:cs="Times New Roman"/>
          <w:color w:val="auto"/>
          <w:sz w:val="24"/>
          <w:szCs w:val="24"/>
        </w:rPr>
      </w:pPr>
    </w:p>
    <w:p w14:paraId="49823CA1" w14:textId="77777777" w:rsidR="00104830" w:rsidRDefault="00104830" w:rsidP="006B3D78">
      <w:pPr>
        <w:pStyle w:val="Normal1"/>
        <w:rPr>
          <w:rFonts w:ascii="Times New Roman" w:eastAsia="Times New Roman" w:hAnsi="Times New Roman" w:cs="Times New Roman"/>
          <w:color w:val="auto"/>
          <w:sz w:val="24"/>
          <w:szCs w:val="24"/>
        </w:rPr>
      </w:pPr>
    </w:p>
    <w:p w14:paraId="245CD577" w14:textId="77777777" w:rsidR="006B3D78" w:rsidRDefault="006B3D78" w:rsidP="006B3D78">
      <w:pPr>
        <w:pStyle w:val="Normal1"/>
        <w:rPr>
          <w:rFonts w:ascii="Times New Roman" w:eastAsia="Times New Roman" w:hAnsi="Times New Roman" w:cs="Times New Roman"/>
          <w:color w:val="auto"/>
          <w:sz w:val="24"/>
          <w:szCs w:val="24"/>
        </w:rPr>
      </w:pPr>
      <w:r w:rsidRPr="006B3D78">
        <w:rPr>
          <w:rFonts w:ascii="Times New Roman" w:eastAsia="Times New Roman" w:hAnsi="Times New Roman" w:cs="Times New Roman"/>
          <w:color w:val="auto"/>
          <w:sz w:val="24"/>
          <w:szCs w:val="24"/>
        </w:rPr>
        <w:lastRenderedPageBreak/>
        <w:t>Figur</w:t>
      </w:r>
      <w:r w:rsidR="00104830">
        <w:rPr>
          <w:rFonts w:ascii="Times New Roman" w:eastAsia="Times New Roman" w:hAnsi="Times New Roman" w:cs="Times New Roman"/>
          <w:color w:val="auto"/>
          <w:sz w:val="24"/>
          <w:szCs w:val="24"/>
        </w:rPr>
        <w:t>e 3</w:t>
      </w:r>
      <w:r w:rsidRPr="006B3D78">
        <w:rPr>
          <w:rFonts w:ascii="Times New Roman" w:eastAsia="Times New Roman" w:hAnsi="Times New Roman" w:cs="Times New Roman"/>
          <w:color w:val="auto"/>
          <w:sz w:val="24"/>
          <w:szCs w:val="24"/>
        </w:rPr>
        <w:t xml:space="preserve">: Comparison of student enrollment in the </w:t>
      </w:r>
      <w:r>
        <w:rPr>
          <w:rFonts w:ascii="Times New Roman" w:eastAsia="Times New Roman" w:hAnsi="Times New Roman" w:cs="Times New Roman"/>
          <w:color w:val="auto"/>
          <w:sz w:val="24"/>
          <w:szCs w:val="24"/>
        </w:rPr>
        <w:t>general biology I</w:t>
      </w:r>
      <w:r w:rsidRPr="006B3D78">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rPr>
        <w:t xml:space="preserve">general chemistry I </w:t>
      </w:r>
      <w:r w:rsidRPr="006B3D78">
        <w:rPr>
          <w:rFonts w:ascii="Times New Roman" w:eastAsia="Times New Roman" w:hAnsi="Times New Roman" w:cs="Times New Roman"/>
          <w:color w:val="auto"/>
          <w:sz w:val="24"/>
          <w:szCs w:val="24"/>
        </w:rPr>
        <w:t>critical pair by sequence of course enrollment</w:t>
      </w:r>
    </w:p>
    <w:p w14:paraId="1875FC11" w14:textId="77777777" w:rsidR="006B3D78" w:rsidRDefault="006B3D78" w:rsidP="006B3D78">
      <w:pPr>
        <w:pStyle w:val="Normal1"/>
        <w:rPr>
          <w:rFonts w:ascii="Times New Roman" w:eastAsia="Times New Roman" w:hAnsi="Times New Roman" w:cs="Times New Roman"/>
          <w:color w:val="auto"/>
          <w:sz w:val="24"/>
          <w:szCs w:val="24"/>
        </w:rPr>
      </w:pPr>
      <w:r>
        <w:rPr>
          <w:rFonts w:ascii="Times New Roman" w:eastAsia="Times New Roman" w:hAnsi="Times New Roman" w:cs="Times New Roman"/>
          <w:noProof/>
          <w:color w:val="auto"/>
          <w:sz w:val="24"/>
          <w:szCs w:val="24"/>
        </w:rPr>
        <w:drawing>
          <wp:inline distT="0" distB="0" distL="0" distR="0" wp14:anchorId="3C9C0FA3" wp14:editId="4A10C06C">
            <wp:extent cx="7888605" cy="521271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888605" cy="5212715"/>
                    </a:xfrm>
                    <a:prstGeom prst="rect">
                      <a:avLst/>
                    </a:prstGeom>
                    <a:noFill/>
                  </pic:spPr>
                </pic:pic>
              </a:graphicData>
            </a:graphic>
          </wp:inline>
        </w:drawing>
      </w:r>
    </w:p>
    <w:p w14:paraId="0153D6BF" w14:textId="77777777" w:rsidR="006B3D78" w:rsidRPr="006B3D78" w:rsidRDefault="006B3D78" w:rsidP="006B3D78">
      <w:pPr>
        <w:pStyle w:val="Normal1"/>
        <w:rPr>
          <w:rFonts w:ascii="Times New Roman" w:eastAsia="Times New Roman" w:hAnsi="Times New Roman" w:cs="Times New Roman"/>
          <w:color w:val="auto"/>
          <w:sz w:val="24"/>
          <w:szCs w:val="24"/>
        </w:rPr>
      </w:pPr>
      <w:r w:rsidRPr="006B3D78">
        <w:rPr>
          <w:rFonts w:ascii="Times New Roman" w:eastAsia="Times New Roman" w:hAnsi="Times New Roman" w:cs="Times New Roman"/>
          <w:color w:val="auto"/>
          <w:sz w:val="24"/>
          <w:szCs w:val="24"/>
        </w:rPr>
        <w:lastRenderedPageBreak/>
        <w:t xml:space="preserve">Figure </w:t>
      </w:r>
      <w:r w:rsidR="00104830">
        <w:rPr>
          <w:rFonts w:ascii="Times New Roman" w:eastAsia="Times New Roman" w:hAnsi="Times New Roman" w:cs="Times New Roman"/>
          <w:color w:val="auto"/>
          <w:sz w:val="24"/>
          <w:szCs w:val="24"/>
        </w:rPr>
        <w:t>4</w:t>
      </w:r>
      <w:r w:rsidRPr="006B3D78">
        <w:rPr>
          <w:rFonts w:ascii="Times New Roman" w:eastAsia="Times New Roman" w:hAnsi="Times New Roman" w:cs="Times New Roman"/>
          <w:color w:val="auto"/>
          <w:sz w:val="24"/>
          <w:szCs w:val="24"/>
        </w:rPr>
        <w:t>: Comparison of student enrollment in the General Biology I/General Chemistry I critical pair by sequence of course enrollment</w:t>
      </w:r>
    </w:p>
    <w:p w14:paraId="08620434" w14:textId="77777777" w:rsidR="00226BC6" w:rsidRPr="00E27549" w:rsidRDefault="00E85C21" w:rsidP="005011F7">
      <w:pPr>
        <w:pStyle w:val="Normal1"/>
        <w:rPr>
          <w:rFonts w:ascii="Times New Roman" w:eastAsia="Times New Roman" w:hAnsi="Times New Roman" w:cs="Times New Roman"/>
          <w:color w:val="auto"/>
          <w:sz w:val="24"/>
          <w:szCs w:val="24"/>
        </w:rPr>
      </w:pPr>
      <w:r>
        <w:rPr>
          <w:rFonts w:ascii="Times New Roman" w:eastAsia="Times New Roman" w:hAnsi="Times New Roman" w:cs="Times New Roman"/>
          <w:noProof/>
          <w:color w:val="auto"/>
          <w:sz w:val="24"/>
          <w:szCs w:val="24"/>
        </w:rPr>
        <w:drawing>
          <wp:inline distT="0" distB="0" distL="0" distR="0" wp14:anchorId="7FB2D1C3" wp14:editId="0A262093">
            <wp:extent cx="7888605" cy="521271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888605" cy="5212715"/>
                    </a:xfrm>
                    <a:prstGeom prst="rect">
                      <a:avLst/>
                    </a:prstGeom>
                    <a:noFill/>
                  </pic:spPr>
                </pic:pic>
              </a:graphicData>
            </a:graphic>
          </wp:inline>
        </w:drawing>
      </w:r>
    </w:p>
    <w:sectPr w:rsidR="00226BC6" w:rsidRPr="00E27549" w:rsidSect="00104830">
      <w:pgSz w:w="15840" w:h="12240" w:orient="landscape"/>
      <w:pgMar w:top="1440" w:right="1440" w:bottom="1440" w:left="1440" w:header="720" w:footer="720" w:gutter="0"/>
      <w:pgNumType w:start="37"/>
      <w:cols w:space="720"/>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prbahr" w:date="2016-12-20T13:26:00Z" w:initials="PRB">
    <w:p w14:paraId="165CF960" w14:textId="77777777" w:rsidR="004B3528" w:rsidRDefault="004B3528">
      <w:pPr>
        <w:pStyle w:val="CommentText"/>
      </w:pPr>
      <w:r>
        <w:rPr>
          <w:rStyle w:val="CommentReference"/>
        </w:rPr>
        <w:annotationRef/>
      </w:r>
      <w:r>
        <w:t>I had to stop working on the Background section here.  I think this subsection of the Background needs some help.  I think it’s shifting too quickly into methodology, when it would be better to at least begin the focus of this subsection on the questions that are unanswered and why those questions matter.  The (prior) methodology is the reason that the questions have not been addressed yet, and the (new/current) methodology of this paper is the reason that we *can* answer them. But, you see that the focus is on the questions, not the methodology.  It needs to remain on the questions, I think, and then we might focus a bit more on methodological distinctiveness when we get to the methods section.</w:t>
      </w:r>
    </w:p>
    <w:p w14:paraId="07D7970B" w14:textId="77777777" w:rsidR="004B3528" w:rsidRDefault="004B3528">
      <w:pPr>
        <w:pStyle w:val="CommentText"/>
      </w:pPr>
    </w:p>
    <w:p w14:paraId="74CA3930" w14:textId="77777777" w:rsidR="004B3528" w:rsidRDefault="004B3528">
      <w:pPr>
        <w:pStyle w:val="CommentText"/>
      </w:pPr>
      <w:r>
        <w:t xml:space="preserve">JLM: Peter, I might need your help to restructure this.  I see your point, but I was having a trouble getting flow when I rearranged it so I tried to put it back the way it was. I thought I would leave your comment so you could look at it with your previous thoughts in mind. </w:t>
      </w:r>
    </w:p>
  </w:comment>
  <w:comment w:id="1" w:author="Jon McNaughtan" w:date="2016-10-24T08:32:00Z" w:initials="JM">
    <w:p w14:paraId="0D00EF7C" w14:textId="77777777" w:rsidR="004B3528" w:rsidRDefault="004B3528">
      <w:pPr>
        <w:pStyle w:val="CommentText"/>
      </w:pPr>
      <w:r>
        <w:rPr>
          <w:rStyle w:val="CommentReference"/>
        </w:rPr>
        <w:annotationRef/>
      </w:r>
      <w:r>
        <w:t xml:space="preserve">Confirm after paper is published. </w:t>
      </w:r>
    </w:p>
    <w:p w14:paraId="77F02410" w14:textId="77777777" w:rsidR="004B3528" w:rsidRDefault="004B3528">
      <w:pPr>
        <w:pStyle w:val="CommentText"/>
      </w:pPr>
    </w:p>
  </w:comment>
  <w:comment w:id="2" w:author="prbahr" w:date="2016-10-21T14:40:00Z" w:initials="PRB">
    <w:p w14:paraId="52A4669C" w14:textId="77777777" w:rsidR="004B3528" w:rsidRDefault="004B3528">
      <w:pPr>
        <w:pStyle w:val="CommentText"/>
      </w:pPr>
      <w:r>
        <w:rPr>
          <w:rStyle w:val="CommentReference"/>
        </w:rPr>
        <w:annotationRef/>
      </w:r>
      <w:r>
        <w:t>This first paragraph needs a lot help.  It’s really important that we lay out first what we were trying to do, second why we were doing it, and third how we did it.  Starting with the how is terribly confusing.  I suggest that we mostly set all of this text aside for a moment, and the write the paragraph that hits those points in that logical order, rather than trying to massage this text.  Then, maybe carry over some of the text (some of which I’ve already rewritten).</w:t>
      </w:r>
    </w:p>
    <w:p w14:paraId="08013EA0" w14:textId="77777777" w:rsidR="004B3528" w:rsidRDefault="004B3528">
      <w:pPr>
        <w:pStyle w:val="CommentText"/>
      </w:pPr>
    </w:p>
    <w:p w14:paraId="32CC2C55" w14:textId="77777777" w:rsidR="004B3528" w:rsidRDefault="004B3528">
      <w:pPr>
        <w:pStyle w:val="CommentText"/>
      </w:pPr>
      <w:r>
        <w:t xml:space="preserve">JLM: Peter, I went to town on this section and I think I got to your critique.  I thought I would leave this comment for your to review, since it was a fairly substantive comment from you.  Feel free to delete it and or change the comment if I missed the mark. </w:t>
      </w:r>
    </w:p>
  </w:comment>
  <w:comment w:id="3" w:author="prbahr" w:date="2016-10-21T22:10:00Z" w:initials="PRB">
    <w:p w14:paraId="6FD66360" w14:textId="77777777" w:rsidR="004B3528" w:rsidRDefault="004B3528">
      <w:pPr>
        <w:pStyle w:val="CommentText"/>
      </w:pPr>
      <w:r>
        <w:rPr>
          <w:rStyle w:val="CommentReference"/>
        </w:rPr>
        <w:annotationRef/>
      </w:r>
      <w:r>
        <w:t>I mostly stopped marking stuff at this point.  I’ve run out of time, unfortunately.  I’ll have to circle back at a later date.</w:t>
      </w:r>
    </w:p>
    <w:p w14:paraId="0C3E3B46" w14:textId="77777777" w:rsidR="002D054E" w:rsidRDefault="002D054E">
      <w:pPr>
        <w:pStyle w:val="CommentText"/>
      </w:pPr>
    </w:p>
    <w:p w14:paraId="4A74AE5E" w14:textId="3BDBB0E4" w:rsidR="002D054E" w:rsidRDefault="002D054E">
      <w:pPr>
        <w:pStyle w:val="CommentText"/>
      </w:pPr>
      <w:r>
        <w:t>JLM: I hope this can be the later date</w:t>
      </w:r>
      <w:r>
        <w:sym w:font="Wingdings" w:char="F04A"/>
      </w:r>
      <w:r>
        <w:t xml:space="preserve">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4CA3930" w15:done="0"/>
  <w15:commentEx w15:paraId="77F02410" w15:done="0"/>
  <w15:commentEx w15:paraId="32CC2C55" w15:done="0"/>
  <w15:commentEx w15:paraId="4A74AE5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A1E37D" w14:textId="77777777" w:rsidR="005345E6" w:rsidRDefault="005345E6" w:rsidP="007E6AD5">
      <w:pPr>
        <w:spacing w:after="0" w:line="240" w:lineRule="auto"/>
      </w:pPr>
      <w:r>
        <w:separator/>
      </w:r>
    </w:p>
  </w:endnote>
  <w:endnote w:type="continuationSeparator" w:id="0">
    <w:p w14:paraId="1F9ED692" w14:textId="77777777" w:rsidR="005345E6" w:rsidRDefault="005345E6" w:rsidP="007E6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ECB6B3" w14:textId="77777777" w:rsidR="004B3528" w:rsidRDefault="004B35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3C9329" w14:textId="77777777" w:rsidR="004B3528" w:rsidRDefault="004B3528">
    <w:pPr>
      <w:pStyle w:val="Footer"/>
      <w:jc w:val="right"/>
    </w:pPr>
    <w:r>
      <w:fldChar w:fldCharType="begin"/>
    </w:r>
    <w:r>
      <w:instrText xml:space="preserve"> PAGE   \* MERGEFORMAT </w:instrText>
    </w:r>
    <w:r>
      <w:fldChar w:fldCharType="separate"/>
    </w:r>
    <w:r w:rsidR="0058468E">
      <w:rPr>
        <w:noProof/>
      </w:rPr>
      <w:t>39</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771B8B" w14:textId="77777777" w:rsidR="004B3528" w:rsidRDefault="004B3528">
    <w:pPr>
      <w:pStyle w:val="Footer"/>
      <w:jc w:val="center"/>
    </w:pPr>
  </w:p>
  <w:p w14:paraId="22684BCF" w14:textId="77777777" w:rsidR="004B3528" w:rsidRDefault="004B35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E14F9A" w14:textId="77777777" w:rsidR="005345E6" w:rsidRDefault="005345E6" w:rsidP="007E6AD5">
      <w:pPr>
        <w:spacing w:after="0" w:line="240" w:lineRule="auto"/>
      </w:pPr>
      <w:r>
        <w:separator/>
      </w:r>
    </w:p>
  </w:footnote>
  <w:footnote w:type="continuationSeparator" w:id="0">
    <w:p w14:paraId="4D49A910" w14:textId="77777777" w:rsidR="005345E6" w:rsidRDefault="005345E6" w:rsidP="007E6AD5">
      <w:pPr>
        <w:spacing w:after="0" w:line="240" w:lineRule="auto"/>
      </w:pPr>
      <w:r>
        <w:continuationSeparator/>
      </w:r>
    </w:p>
  </w:footnote>
  <w:footnote w:id="1">
    <w:p w14:paraId="0A8F446A" w14:textId="77777777" w:rsidR="004B3528" w:rsidRDefault="004B3528">
      <w:pPr>
        <w:pStyle w:val="FootnoteText"/>
      </w:pPr>
      <w:r>
        <w:rPr>
          <w:rStyle w:val="FootnoteReference"/>
        </w:rPr>
        <w:footnoteRef/>
      </w:r>
      <w:r>
        <w:t xml:space="preserve"> </w:t>
      </w:r>
      <w:r>
        <w:rPr>
          <w:rFonts w:eastAsia="Arial Unicode MS"/>
          <w:sz w:val="24"/>
          <w:szCs w:val="24"/>
        </w:rPr>
        <w:t xml:space="preserve">It is important to note that we count students who have attempted the course, not limiting our analysis to students who complete the course.  Further, for the analysis by course outcome we present the outcome for the student’s first attempt. </w:t>
      </w:r>
    </w:p>
  </w:footnote>
  <w:footnote w:id="2">
    <w:p w14:paraId="3540494F" w14:textId="77777777" w:rsidR="004B3528" w:rsidRPr="002036D7" w:rsidRDefault="004B3528">
      <w:pPr>
        <w:pStyle w:val="FootnoteText"/>
        <w:rPr>
          <w:sz w:val="24"/>
          <w:szCs w:val="24"/>
        </w:rPr>
      </w:pPr>
      <w:r w:rsidRPr="002A0032">
        <w:rPr>
          <w:rStyle w:val="FootnoteReference"/>
          <w:sz w:val="24"/>
          <w:szCs w:val="24"/>
        </w:rPr>
        <w:footnoteRef/>
      </w:r>
      <w:r w:rsidRPr="002A0032">
        <w:rPr>
          <w:sz w:val="24"/>
          <w:szCs w:val="24"/>
        </w:rPr>
        <w:t xml:space="preserve">  Given that the curriculum in computer science was not standardized across colleges, we combined introductory computer programming courses with the first course in a specific computer language.  This was a logical approach because for many of the basic computer programming courses there was still an identified computer language that students would become exposed to.   This is important to note because some students could have taken two courses, introductory computer programming and a specific introductory programming language (e.g., java, </w:t>
      </w:r>
      <w:proofErr w:type="spellStart"/>
      <w:r w:rsidRPr="002A0032">
        <w:rPr>
          <w:sz w:val="24"/>
          <w:szCs w:val="24"/>
        </w:rPr>
        <w:t>c++</w:t>
      </w:r>
      <w:proofErr w:type="spellEnd"/>
      <w:r w:rsidRPr="002A0032">
        <w:rPr>
          <w:sz w:val="24"/>
          <w:szCs w:val="24"/>
        </w:rPr>
        <w:t xml:space="preserve">) that would have been counted as one attempt in this model.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A1EC5" w14:textId="77777777" w:rsidR="004B3528" w:rsidRDefault="004B35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16AE5" w14:textId="77777777" w:rsidR="004B3528" w:rsidRPr="007068F8" w:rsidRDefault="004B3528">
    <w:pPr>
      <w:pStyle w:val="Header"/>
      <w:jc w:val="right"/>
      <w:rPr>
        <w:rFonts w:ascii="Times New Roman" w:hAnsi="Times New Roman" w:cs="Times New Roman"/>
        <w:sz w:val="24"/>
        <w:szCs w:val="24"/>
      </w:rPr>
    </w:pPr>
    <w:r w:rsidRPr="007068F8">
      <w:rPr>
        <w:rFonts w:ascii="Times New Roman" w:hAnsi="Times New Roman" w:cs="Times New Roman"/>
        <w:sz w:val="24"/>
        <w:szCs w:val="24"/>
      </w:rPr>
      <w:t xml:space="preserve">INTERDISCIPLINARY COURSE-TAKING AT COMMUNITY COLLEGES </w:t>
    </w:r>
    <w:r w:rsidRPr="007068F8">
      <w:rPr>
        <w:rFonts w:ascii="Times New Roman" w:hAnsi="Times New Roman" w:cs="Times New Roman"/>
        <w:sz w:val="24"/>
        <w:szCs w:val="24"/>
      </w:rPr>
      <w:tab/>
    </w:r>
    <w:sdt>
      <w:sdtPr>
        <w:rPr>
          <w:rFonts w:ascii="Times New Roman" w:hAnsi="Times New Roman" w:cs="Times New Roman"/>
          <w:sz w:val="24"/>
          <w:szCs w:val="24"/>
        </w:rPr>
        <w:id w:val="1030703838"/>
        <w:docPartObj>
          <w:docPartGallery w:val="Page Numbers (Top of Page)"/>
          <w:docPartUnique/>
        </w:docPartObj>
      </w:sdtPr>
      <w:sdtContent>
        <w:r w:rsidRPr="007068F8">
          <w:rPr>
            <w:rFonts w:ascii="Times New Roman" w:hAnsi="Times New Roman" w:cs="Times New Roman"/>
            <w:sz w:val="24"/>
            <w:szCs w:val="24"/>
          </w:rPr>
          <w:fldChar w:fldCharType="begin"/>
        </w:r>
        <w:r w:rsidRPr="007068F8">
          <w:rPr>
            <w:rFonts w:ascii="Times New Roman" w:hAnsi="Times New Roman" w:cs="Times New Roman"/>
            <w:sz w:val="24"/>
            <w:szCs w:val="24"/>
          </w:rPr>
          <w:instrText xml:space="preserve"> PAGE   \* MERGEFORMAT </w:instrText>
        </w:r>
        <w:r w:rsidRPr="007068F8">
          <w:rPr>
            <w:rFonts w:ascii="Times New Roman" w:hAnsi="Times New Roman" w:cs="Times New Roman"/>
            <w:sz w:val="24"/>
            <w:szCs w:val="24"/>
          </w:rPr>
          <w:fldChar w:fldCharType="separate"/>
        </w:r>
        <w:r w:rsidR="00FC705C">
          <w:rPr>
            <w:rFonts w:ascii="Times New Roman" w:hAnsi="Times New Roman" w:cs="Times New Roman"/>
            <w:noProof/>
            <w:sz w:val="24"/>
            <w:szCs w:val="24"/>
          </w:rPr>
          <w:t>2</w:t>
        </w:r>
        <w:r w:rsidRPr="007068F8">
          <w:rPr>
            <w:rFonts w:ascii="Times New Roman" w:hAnsi="Times New Roman" w:cs="Times New Roman"/>
            <w:noProof/>
            <w:sz w:val="24"/>
            <w:szCs w:val="24"/>
          </w:rPr>
          <w:fldChar w:fldCharType="end"/>
        </w:r>
      </w:sdtContent>
    </w:sdt>
  </w:p>
  <w:p w14:paraId="58BE822C" w14:textId="77777777" w:rsidR="004B3528" w:rsidRPr="004F7937" w:rsidRDefault="004B3528" w:rsidP="00D60C07">
    <w:pPr>
      <w:spacing w:after="0" w:line="480" w:lineRule="auto"/>
      <w:rPr>
        <w:rFonts w:eastAsia="Arial Unicode MS"/>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0703828"/>
      <w:docPartObj>
        <w:docPartGallery w:val="Page Numbers (Top of Page)"/>
        <w:docPartUnique/>
      </w:docPartObj>
    </w:sdtPr>
    <w:sdtContent>
      <w:p w14:paraId="05D315AE" w14:textId="77777777" w:rsidR="004B3528" w:rsidRDefault="004B3528">
        <w:pPr>
          <w:pStyle w:val="Header"/>
          <w:jc w:val="right"/>
        </w:pPr>
        <w:r>
          <w:t xml:space="preserve">Running head: INTERDISCIPLINARY COURSE-TAKING AT COMMUNITY COLLEGES </w:t>
        </w:r>
        <w:r>
          <w:tab/>
        </w:r>
        <w:r>
          <w:fldChar w:fldCharType="begin"/>
        </w:r>
        <w:r>
          <w:instrText xml:space="preserve"> PAGE   \* MERGEFORMAT </w:instrText>
        </w:r>
        <w:r>
          <w:fldChar w:fldCharType="separate"/>
        </w:r>
        <w:r w:rsidR="00FC705C">
          <w:rPr>
            <w:noProof/>
          </w:rPr>
          <w:t>1</w:t>
        </w:r>
        <w:r>
          <w:rPr>
            <w:noProof/>
          </w:rPr>
          <w:fldChar w:fldCharType="end"/>
        </w:r>
      </w:p>
    </w:sdtContent>
  </w:sdt>
  <w:p w14:paraId="0DF37720" w14:textId="77777777" w:rsidR="004B3528" w:rsidRDefault="004B352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C209AB" w14:textId="77777777" w:rsidR="004B3528" w:rsidRDefault="004B3528">
    <w:pPr>
      <w:spacing w:after="0" w:line="240" w:lineRule="auto"/>
      <w:rPr>
        <w:rFonts w:eastAsia="Arial Unicode MS"/>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865936"/>
    <w:multiLevelType w:val="hybridMultilevel"/>
    <w:tmpl w:val="C6E4C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982164"/>
    <w:multiLevelType w:val="hybridMultilevel"/>
    <w:tmpl w:val="57DE40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BBF4757"/>
    <w:multiLevelType w:val="hybridMultilevel"/>
    <w:tmpl w:val="48ECE980"/>
    <w:lvl w:ilvl="0" w:tplc="68D2C0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F890A8B"/>
    <w:multiLevelType w:val="hybridMultilevel"/>
    <w:tmpl w:val="21E4811E"/>
    <w:lvl w:ilvl="0" w:tplc="992A55C0">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1B25A26"/>
    <w:multiLevelType w:val="multilevel"/>
    <w:tmpl w:val="671042BC"/>
    <w:lvl w:ilvl="0">
      <w:start w:val="1"/>
      <w:numFmt w:val="upperRoman"/>
      <w:lvlText w:val="%1."/>
      <w:lvlJc w:val="righ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15:restartNumberingAfterBreak="0">
    <w:nsid w:val="56931445"/>
    <w:multiLevelType w:val="hybridMultilevel"/>
    <w:tmpl w:val="974CE34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D665DBB"/>
    <w:multiLevelType w:val="multilevel"/>
    <w:tmpl w:val="7402D840"/>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7" w15:restartNumberingAfterBreak="0">
    <w:nsid w:val="7DEA590A"/>
    <w:multiLevelType w:val="hybridMultilevel"/>
    <w:tmpl w:val="0EF8B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7"/>
  </w:num>
  <w:num w:numId="7">
    <w:abstractNumId w:val="1"/>
  </w:num>
  <w:num w:numId="8">
    <w:abstractNumId w:val="0"/>
  </w:num>
  <w:num w:numId="9">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rbahr">
    <w15:presenceInfo w15:providerId="None" w15:userId="prbah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80AAA"/>
    <w:rsid w:val="00006697"/>
    <w:rsid w:val="000552CB"/>
    <w:rsid w:val="00080AAA"/>
    <w:rsid w:val="000940E3"/>
    <w:rsid w:val="000A1848"/>
    <w:rsid w:val="000A2032"/>
    <w:rsid w:val="000B15A7"/>
    <w:rsid w:val="000B66AF"/>
    <w:rsid w:val="000B6B07"/>
    <w:rsid w:val="000C31AD"/>
    <w:rsid w:val="000D0DDE"/>
    <w:rsid w:val="000E7F1E"/>
    <w:rsid w:val="00104830"/>
    <w:rsid w:val="00105F19"/>
    <w:rsid w:val="00113507"/>
    <w:rsid w:val="001319D7"/>
    <w:rsid w:val="001332D4"/>
    <w:rsid w:val="001452E6"/>
    <w:rsid w:val="00146BD6"/>
    <w:rsid w:val="00150A91"/>
    <w:rsid w:val="001628E0"/>
    <w:rsid w:val="00163143"/>
    <w:rsid w:val="00181AA2"/>
    <w:rsid w:val="00181BF1"/>
    <w:rsid w:val="0019406F"/>
    <w:rsid w:val="0019553D"/>
    <w:rsid w:val="00197574"/>
    <w:rsid w:val="001A1106"/>
    <w:rsid w:val="001B102F"/>
    <w:rsid w:val="001C053F"/>
    <w:rsid w:val="001C7D7A"/>
    <w:rsid w:val="001E28F1"/>
    <w:rsid w:val="001F1719"/>
    <w:rsid w:val="001F5B08"/>
    <w:rsid w:val="001F6624"/>
    <w:rsid w:val="00200D39"/>
    <w:rsid w:val="00202E01"/>
    <w:rsid w:val="002036D7"/>
    <w:rsid w:val="002252E1"/>
    <w:rsid w:val="00226BC6"/>
    <w:rsid w:val="00230A43"/>
    <w:rsid w:val="00250E6C"/>
    <w:rsid w:val="002661A1"/>
    <w:rsid w:val="00270F2D"/>
    <w:rsid w:val="0028408E"/>
    <w:rsid w:val="0028605A"/>
    <w:rsid w:val="00293B31"/>
    <w:rsid w:val="002A0032"/>
    <w:rsid w:val="002A487C"/>
    <w:rsid w:val="002B710B"/>
    <w:rsid w:val="002D054E"/>
    <w:rsid w:val="002E00DC"/>
    <w:rsid w:val="002E25A0"/>
    <w:rsid w:val="002E3DD9"/>
    <w:rsid w:val="002E4C6A"/>
    <w:rsid w:val="002F1DE0"/>
    <w:rsid w:val="002F2DF1"/>
    <w:rsid w:val="003079AC"/>
    <w:rsid w:val="00322A78"/>
    <w:rsid w:val="00340A03"/>
    <w:rsid w:val="00347795"/>
    <w:rsid w:val="00347A04"/>
    <w:rsid w:val="00362982"/>
    <w:rsid w:val="003A33C1"/>
    <w:rsid w:val="003A552F"/>
    <w:rsid w:val="003A7A36"/>
    <w:rsid w:val="003B4D49"/>
    <w:rsid w:val="003B71AB"/>
    <w:rsid w:val="003D6536"/>
    <w:rsid w:val="003E23B3"/>
    <w:rsid w:val="003E2D41"/>
    <w:rsid w:val="003E5EE7"/>
    <w:rsid w:val="003E7654"/>
    <w:rsid w:val="00400D53"/>
    <w:rsid w:val="00401A6B"/>
    <w:rsid w:val="0040274A"/>
    <w:rsid w:val="00404D9A"/>
    <w:rsid w:val="00413786"/>
    <w:rsid w:val="0041556F"/>
    <w:rsid w:val="00415DB0"/>
    <w:rsid w:val="004202E2"/>
    <w:rsid w:val="00420E14"/>
    <w:rsid w:val="00421BFC"/>
    <w:rsid w:val="004227FF"/>
    <w:rsid w:val="004256A1"/>
    <w:rsid w:val="004376B7"/>
    <w:rsid w:val="00437F54"/>
    <w:rsid w:val="0044052F"/>
    <w:rsid w:val="00446817"/>
    <w:rsid w:val="004506B5"/>
    <w:rsid w:val="004535CF"/>
    <w:rsid w:val="00453ADB"/>
    <w:rsid w:val="00454067"/>
    <w:rsid w:val="00460EDC"/>
    <w:rsid w:val="00474557"/>
    <w:rsid w:val="00480356"/>
    <w:rsid w:val="004827CA"/>
    <w:rsid w:val="004868A7"/>
    <w:rsid w:val="004878D9"/>
    <w:rsid w:val="004925B7"/>
    <w:rsid w:val="004B3528"/>
    <w:rsid w:val="004B7C25"/>
    <w:rsid w:val="004C58BF"/>
    <w:rsid w:val="004C7221"/>
    <w:rsid w:val="004C7A8B"/>
    <w:rsid w:val="004D65E2"/>
    <w:rsid w:val="004E5A27"/>
    <w:rsid w:val="004F2F94"/>
    <w:rsid w:val="005011F7"/>
    <w:rsid w:val="005114A3"/>
    <w:rsid w:val="005345E6"/>
    <w:rsid w:val="00535F81"/>
    <w:rsid w:val="00536A97"/>
    <w:rsid w:val="00552C5A"/>
    <w:rsid w:val="00561598"/>
    <w:rsid w:val="005842DB"/>
    <w:rsid w:val="0058468E"/>
    <w:rsid w:val="00597B38"/>
    <w:rsid w:val="005A1196"/>
    <w:rsid w:val="005A1853"/>
    <w:rsid w:val="005A271A"/>
    <w:rsid w:val="005A799B"/>
    <w:rsid w:val="005C6972"/>
    <w:rsid w:val="005D713E"/>
    <w:rsid w:val="005E500A"/>
    <w:rsid w:val="005E5DFF"/>
    <w:rsid w:val="005E7A98"/>
    <w:rsid w:val="005F0027"/>
    <w:rsid w:val="005F3967"/>
    <w:rsid w:val="005F7821"/>
    <w:rsid w:val="00601185"/>
    <w:rsid w:val="00606EF6"/>
    <w:rsid w:val="0061101C"/>
    <w:rsid w:val="00611D36"/>
    <w:rsid w:val="00615811"/>
    <w:rsid w:val="00630058"/>
    <w:rsid w:val="006322AA"/>
    <w:rsid w:val="006326FB"/>
    <w:rsid w:val="0065271F"/>
    <w:rsid w:val="00656CC0"/>
    <w:rsid w:val="0066274B"/>
    <w:rsid w:val="00670447"/>
    <w:rsid w:val="00685788"/>
    <w:rsid w:val="0068728A"/>
    <w:rsid w:val="00693BF7"/>
    <w:rsid w:val="006976D3"/>
    <w:rsid w:val="006A510D"/>
    <w:rsid w:val="006A5E6F"/>
    <w:rsid w:val="006A68AF"/>
    <w:rsid w:val="006A77F2"/>
    <w:rsid w:val="006B0338"/>
    <w:rsid w:val="006B266A"/>
    <w:rsid w:val="006B3D78"/>
    <w:rsid w:val="006D120C"/>
    <w:rsid w:val="006D4451"/>
    <w:rsid w:val="006D446A"/>
    <w:rsid w:val="006E20CD"/>
    <w:rsid w:val="006F1D4A"/>
    <w:rsid w:val="006F299F"/>
    <w:rsid w:val="006F4C8B"/>
    <w:rsid w:val="006F7CD2"/>
    <w:rsid w:val="00702EB4"/>
    <w:rsid w:val="007068F8"/>
    <w:rsid w:val="0071154A"/>
    <w:rsid w:val="007145B8"/>
    <w:rsid w:val="00717E4E"/>
    <w:rsid w:val="00720257"/>
    <w:rsid w:val="00724526"/>
    <w:rsid w:val="00726935"/>
    <w:rsid w:val="00727E88"/>
    <w:rsid w:val="00731CAB"/>
    <w:rsid w:val="00736434"/>
    <w:rsid w:val="007372CE"/>
    <w:rsid w:val="00737FE5"/>
    <w:rsid w:val="0074052A"/>
    <w:rsid w:val="007523EB"/>
    <w:rsid w:val="00761EA3"/>
    <w:rsid w:val="00763633"/>
    <w:rsid w:val="007707D0"/>
    <w:rsid w:val="007778A6"/>
    <w:rsid w:val="00781D3E"/>
    <w:rsid w:val="007A46F1"/>
    <w:rsid w:val="007A63C9"/>
    <w:rsid w:val="007C1159"/>
    <w:rsid w:val="007C3E84"/>
    <w:rsid w:val="007D1EC1"/>
    <w:rsid w:val="007D2351"/>
    <w:rsid w:val="007D50ED"/>
    <w:rsid w:val="007D5B6C"/>
    <w:rsid w:val="007D794A"/>
    <w:rsid w:val="007E581F"/>
    <w:rsid w:val="007E69AD"/>
    <w:rsid w:val="007E6AD5"/>
    <w:rsid w:val="007F4D0D"/>
    <w:rsid w:val="008001A1"/>
    <w:rsid w:val="00800633"/>
    <w:rsid w:val="0080674D"/>
    <w:rsid w:val="008120E2"/>
    <w:rsid w:val="008149B2"/>
    <w:rsid w:val="00816155"/>
    <w:rsid w:val="00821046"/>
    <w:rsid w:val="008249C8"/>
    <w:rsid w:val="00870C05"/>
    <w:rsid w:val="0087428C"/>
    <w:rsid w:val="008863EC"/>
    <w:rsid w:val="00893ED4"/>
    <w:rsid w:val="008A67C5"/>
    <w:rsid w:val="008B02F2"/>
    <w:rsid w:val="008B174F"/>
    <w:rsid w:val="008B2867"/>
    <w:rsid w:val="008B28DA"/>
    <w:rsid w:val="008B42D7"/>
    <w:rsid w:val="008D530A"/>
    <w:rsid w:val="008D7335"/>
    <w:rsid w:val="008F5724"/>
    <w:rsid w:val="00903DD7"/>
    <w:rsid w:val="00914D81"/>
    <w:rsid w:val="009238CE"/>
    <w:rsid w:val="00932DF4"/>
    <w:rsid w:val="00933B3A"/>
    <w:rsid w:val="0094568B"/>
    <w:rsid w:val="009535CF"/>
    <w:rsid w:val="00971817"/>
    <w:rsid w:val="00984385"/>
    <w:rsid w:val="009876CD"/>
    <w:rsid w:val="0099586B"/>
    <w:rsid w:val="00995D85"/>
    <w:rsid w:val="00997FD5"/>
    <w:rsid w:val="009A3917"/>
    <w:rsid w:val="009A4CB8"/>
    <w:rsid w:val="009C0EDA"/>
    <w:rsid w:val="009C39FD"/>
    <w:rsid w:val="009C3A03"/>
    <w:rsid w:val="009C7F10"/>
    <w:rsid w:val="009D5EFA"/>
    <w:rsid w:val="009D7353"/>
    <w:rsid w:val="009E1505"/>
    <w:rsid w:val="009F39D0"/>
    <w:rsid w:val="009F4B1B"/>
    <w:rsid w:val="00A02A24"/>
    <w:rsid w:val="00A02C0D"/>
    <w:rsid w:val="00A03343"/>
    <w:rsid w:val="00A17E75"/>
    <w:rsid w:val="00A23760"/>
    <w:rsid w:val="00A37DC8"/>
    <w:rsid w:val="00A66DCA"/>
    <w:rsid w:val="00A66EB2"/>
    <w:rsid w:val="00A75CE4"/>
    <w:rsid w:val="00A806B8"/>
    <w:rsid w:val="00A85FBD"/>
    <w:rsid w:val="00A92B01"/>
    <w:rsid w:val="00AB4891"/>
    <w:rsid w:val="00AB5ACC"/>
    <w:rsid w:val="00AC73F0"/>
    <w:rsid w:val="00AC79C6"/>
    <w:rsid w:val="00AF7B42"/>
    <w:rsid w:val="00B03178"/>
    <w:rsid w:val="00B04500"/>
    <w:rsid w:val="00B134FB"/>
    <w:rsid w:val="00B141D5"/>
    <w:rsid w:val="00B14F10"/>
    <w:rsid w:val="00B208B8"/>
    <w:rsid w:val="00B23E2B"/>
    <w:rsid w:val="00B27442"/>
    <w:rsid w:val="00B305AB"/>
    <w:rsid w:val="00B33063"/>
    <w:rsid w:val="00B41148"/>
    <w:rsid w:val="00B41BF7"/>
    <w:rsid w:val="00B458BA"/>
    <w:rsid w:val="00B47A4D"/>
    <w:rsid w:val="00B75784"/>
    <w:rsid w:val="00B85D6B"/>
    <w:rsid w:val="00B86B26"/>
    <w:rsid w:val="00B935C9"/>
    <w:rsid w:val="00BA1C6E"/>
    <w:rsid w:val="00BB2D81"/>
    <w:rsid w:val="00BD149D"/>
    <w:rsid w:val="00BE000B"/>
    <w:rsid w:val="00BE05C3"/>
    <w:rsid w:val="00BF55D8"/>
    <w:rsid w:val="00BF72AC"/>
    <w:rsid w:val="00C12FBD"/>
    <w:rsid w:val="00C26CB5"/>
    <w:rsid w:val="00C3631F"/>
    <w:rsid w:val="00C41365"/>
    <w:rsid w:val="00C43210"/>
    <w:rsid w:val="00C47D54"/>
    <w:rsid w:val="00C60634"/>
    <w:rsid w:val="00C735D8"/>
    <w:rsid w:val="00C8775B"/>
    <w:rsid w:val="00CA0AFA"/>
    <w:rsid w:val="00CA791A"/>
    <w:rsid w:val="00CB6057"/>
    <w:rsid w:val="00CB65DA"/>
    <w:rsid w:val="00CD00AE"/>
    <w:rsid w:val="00CD2C00"/>
    <w:rsid w:val="00CD4CA7"/>
    <w:rsid w:val="00CE46BC"/>
    <w:rsid w:val="00CF141D"/>
    <w:rsid w:val="00CF7091"/>
    <w:rsid w:val="00D00498"/>
    <w:rsid w:val="00D0565C"/>
    <w:rsid w:val="00D05861"/>
    <w:rsid w:val="00D107DA"/>
    <w:rsid w:val="00D11E1A"/>
    <w:rsid w:val="00D14137"/>
    <w:rsid w:val="00D347FB"/>
    <w:rsid w:val="00D60C07"/>
    <w:rsid w:val="00D824E2"/>
    <w:rsid w:val="00D92BB3"/>
    <w:rsid w:val="00D977C3"/>
    <w:rsid w:val="00DA4A44"/>
    <w:rsid w:val="00DA4BE0"/>
    <w:rsid w:val="00DA5A70"/>
    <w:rsid w:val="00DA6124"/>
    <w:rsid w:val="00DA650B"/>
    <w:rsid w:val="00DB45A9"/>
    <w:rsid w:val="00DB5325"/>
    <w:rsid w:val="00DC0F6E"/>
    <w:rsid w:val="00DF0D36"/>
    <w:rsid w:val="00DF4AE5"/>
    <w:rsid w:val="00E002A3"/>
    <w:rsid w:val="00E10158"/>
    <w:rsid w:val="00E16BEC"/>
    <w:rsid w:val="00E23D73"/>
    <w:rsid w:val="00E24C18"/>
    <w:rsid w:val="00E27549"/>
    <w:rsid w:val="00E6639C"/>
    <w:rsid w:val="00E701C6"/>
    <w:rsid w:val="00E71CA1"/>
    <w:rsid w:val="00E7697B"/>
    <w:rsid w:val="00E83995"/>
    <w:rsid w:val="00E85C21"/>
    <w:rsid w:val="00E971FF"/>
    <w:rsid w:val="00EA161F"/>
    <w:rsid w:val="00EC0DE6"/>
    <w:rsid w:val="00EC403C"/>
    <w:rsid w:val="00EC5F53"/>
    <w:rsid w:val="00EC6871"/>
    <w:rsid w:val="00EC79C0"/>
    <w:rsid w:val="00ED0891"/>
    <w:rsid w:val="00EE041F"/>
    <w:rsid w:val="00EE16C3"/>
    <w:rsid w:val="00EE2AA0"/>
    <w:rsid w:val="00EE2E72"/>
    <w:rsid w:val="00EE4F7A"/>
    <w:rsid w:val="00EF0FA7"/>
    <w:rsid w:val="00EF3DD9"/>
    <w:rsid w:val="00EF6CF6"/>
    <w:rsid w:val="00F12289"/>
    <w:rsid w:val="00F159A9"/>
    <w:rsid w:val="00F20991"/>
    <w:rsid w:val="00F24B76"/>
    <w:rsid w:val="00F25861"/>
    <w:rsid w:val="00F26113"/>
    <w:rsid w:val="00F335AC"/>
    <w:rsid w:val="00F47292"/>
    <w:rsid w:val="00F5478B"/>
    <w:rsid w:val="00F55A40"/>
    <w:rsid w:val="00F6290F"/>
    <w:rsid w:val="00F67E9E"/>
    <w:rsid w:val="00F9100B"/>
    <w:rsid w:val="00F93289"/>
    <w:rsid w:val="00FA5DA9"/>
    <w:rsid w:val="00FB03DE"/>
    <w:rsid w:val="00FC08D4"/>
    <w:rsid w:val="00FC1A35"/>
    <w:rsid w:val="00FC705C"/>
    <w:rsid w:val="00FD00F9"/>
    <w:rsid w:val="00FE5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D3FDC2"/>
  <w15:docId w15:val="{3D3F9E1F-EE47-493A-8C58-807E45E78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91A"/>
  </w:style>
  <w:style w:type="paragraph" w:styleId="Heading1">
    <w:name w:val="heading 1"/>
    <w:basedOn w:val="Normal1"/>
    <w:next w:val="Normal1"/>
    <w:rsid w:val="00080AAA"/>
    <w:pPr>
      <w:keepNext/>
      <w:keepLines/>
      <w:spacing w:before="480" w:after="120"/>
      <w:contextualSpacing/>
      <w:outlineLvl w:val="0"/>
    </w:pPr>
    <w:rPr>
      <w:b/>
      <w:sz w:val="48"/>
      <w:szCs w:val="48"/>
    </w:rPr>
  </w:style>
  <w:style w:type="paragraph" w:styleId="Heading2">
    <w:name w:val="heading 2"/>
    <w:basedOn w:val="Normal1"/>
    <w:next w:val="Normal1"/>
    <w:rsid w:val="00080AAA"/>
    <w:pPr>
      <w:keepNext/>
      <w:keepLines/>
      <w:spacing w:before="360" w:after="80"/>
      <w:contextualSpacing/>
      <w:outlineLvl w:val="1"/>
    </w:pPr>
    <w:rPr>
      <w:b/>
      <w:sz w:val="36"/>
      <w:szCs w:val="36"/>
    </w:rPr>
  </w:style>
  <w:style w:type="paragraph" w:styleId="Heading3">
    <w:name w:val="heading 3"/>
    <w:basedOn w:val="Normal1"/>
    <w:next w:val="Normal1"/>
    <w:rsid w:val="00080AAA"/>
    <w:pPr>
      <w:keepNext/>
      <w:keepLines/>
      <w:spacing w:before="280" w:after="80"/>
      <w:contextualSpacing/>
      <w:outlineLvl w:val="2"/>
    </w:pPr>
    <w:rPr>
      <w:b/>
      <w:sz w:val="28"/>
      <w:szCs w:val="28"/>
    </w:rPr>
  </w:style>
  <w:style w:type="paragraph" w:styleId="Heading4">
    <w:name w:val="heading 4"/>
    <w:basedOn w:val="Normal1"/>
    <w:next w:val="Normal1"/>
    <w:rsid w:val="00080AAA"/>
    <w:pPr>
      <w:keepNext/>
      <w:keepLines/>
      <w:spacing w:before="240" w:after="40"/>
      <w:contextualSpacing/>
      <w:outlineLvl w:val="3"/>
    </w:pPr>
    <w:rPr>
      <w:b/>
      <w:sz w:val="24"/>
      <w:szCs w:val="24"/>
    </w:rPr>
  </w:style>
  <w:style w:type="paragraph" w:styleId="Heading5">
    <w:name w:val="heading 5"/>
    <w:basedOn w:val="Normal1"/>
    <w:next w:val="Normal1"/>
    <w:rsid w:val="00080AAA"/>
    <w:pPr>
      <w:keepNext/>
      <w:keepLines/>
      <w:spacing w:before="220" w:after="40"/>
      <w:contextualSpacing/>
      <w:outlineLvl w:val="4"/>
    </w:pPr>
    <w:rPr>
      <w:b/>
    </w:rPr>
  </w:style>
  <w:style w:type="paragraph" w:styleId="Heading6">
    <w:name w:val="heading 6"/>
    <w:basedOn w:val="Normal1"/>
    <w:next w:val="Normal1"/>
    <w:rsid w:val="00080AAA"/>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080AAA"/>
  </w:style>
  <w:style w:type="paragraph" w:styleId="Title">
    <w:name w:val="Title"/>
    <w:basedOn w:val="Normal1"/>
    <w:next w:val="Normal1"/>
    <w:rsid w:val="00080AAA"/>
    <w:pPr>
      <w:keepNext/>
      <w:keepLines/>
      <w:spacing w:before="480" w:after="120"/>
      <w:contextualSpacing/>
    </w:pPr>
    <w:rPr>
      <w:b/>
      <w:sz w:val="72"/>
      <w:szCs w:val="72"/>
    </w:rPr>
  </w:style>
  <w:style w:type="paragraph" w:styleId="Subtitle">
    <w:name w:val="Subtitle"/>
    <w:basedOn w:val="Normal1"/>
    <w:next w:val="Normal1"/>
    <w:rsid w:val="00080AAA"/>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sid w:val="00080AAA"/>
    <w:pPr>
      <w:spacing w:line="240" w:lineRule="auto"/>
    </w:pPr>
    <w:rPr>
      <w:sz w:val="20"/>
      <w:szCs w:val="20"/>
    </w:rPr>
  </w:style>
  <w:style w:type="character" w:customStyle="1" w:styleId="CommentTextChar">
    <w:name w:val="Comment Text Char"/>
    <w:basedOn w:val="DefaultParagraphFont"/>
    <w:link w:val="CommentText"/>
    <w:uiPriority w:val="99"/>
    <w:semiHidden/>
    <w:rsid w:val="00080AAA"/>
    <w:rPr>
      <w:sz w:val="20"/>
      <w:szCs w:val="20"/>
    </w:rPr>
  </w:style>
  <w:style w:type="character" w:styleId="CommentReference">
    <w:name w:val="annotation reference"/>
    <w:basedOn w:val="DefaultParagraphFont"/>
    <w:uiPriority w:val="99"/>
    <w:semiHidden/>
    <w:unhideWhenUsed/>
    <w:rsid w:val="00080AAA"/>
    <w:rPr>
      <w:sz w:val="16"/>
      <w:szCs w:val="16"/>
    </w:rPr>
  </w:style>
  <w:style w:type="paragraph" w:styleId="BalloonText">
    <w:name w:val="Balloon Text"/>
    <w:basedOn w:val="Normal"/>
    <w:link w:val="BalloonTextChar"/>
    <w:uiPriority w:val="99"/>
    <w:semiHidden/>
    <w:unhideWhenUsed/>
    <w:rsid w:val="006B26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66A"/>
    <w:rPr>
      <w:rFonts w:ascii="Tahoma" w:hAnsi="Tahoma" w:cs="Tahoma"/>
      <w:sz w:val="16"/>
      <w:szCs w:val="16"/>
    </w:rPr>
  </w:style>
  <w:style w:type="paragraph" w:styleId="FootnoteText">
    <w:name w:val="footnote text"/>
    <w:basedOn w:val="Normal"/>
    <w:link w:val="FootnoteTextChar"/>
    <w:uiPriority w:val="99"/>
    <w:unhideWhenUsed/>
    <w:rsid w:val="007E6AD5"/>
    <w:pPr>
      <w:spacing w:after="0" w:line="240" w:lineRule="auto"/>
    </w:pPr>
    <w:rPr>
      <w:rFonts w:ascii="Times New Roman" w:hAnsi="Times New Roman" w:cs="Times New Roman"/>
      <w:color w:val="auto"/>
      <w:sz w:val="20"/>
      <w:szCs w:val="20"/>
    </w:rPr>
  </w:style>
  <w:style w:type="character" w:customStyle="1" w:styleId="FootnoteTextChar">
    <w:name w:val="Footnote Text Char"/>
    <w:basedOn w:val="DefaultParagraphFont"/>
    <w:link w:val="FootnoteText"/>
    <w:uiPriority w:val="99"/>
    <w:rsid w:val="007E6AD5"/>
    <w:rPr>
      <w:rFonts w:ascii="Times New Roman" w:hAnsi="Times New Roman" w:cs="Times New Roman"/>
      <w:color w:val="auto"/>
      <w:sz w:val="20"/>
      <w:szCs w:val="20"/>
    </w:rPr>
  </w:style>
  <w:style w:type="character" w:styleId="FootnoteReference">
    <w:name w:val="footnote reference"/>
    <w:basedOn w:val="DefaultParagraphFont"/>
    <w:uiPriority w:val="99"/>
    <w:semiHidden/>
    <w:unhideWhenUsed/>
    <w:rsid w:val="007E6AD5"/>
    <w:rPr>
      <w:vertAlign w:val="superscript"/>
    </w:rPr>
  </w:style>
  <w:style w:type="paragraph" w:styleId="Footer">
    <w:name w:val="footer"/>
    <w:basedOn w:val="Normal"/>
    <w:link w:val="FooterChar"/>
    <w:uiPriority w:val="99"/>
    <w:unhideWhenUsed/>
    <w:rsid w:val="007E6AD5"/>
    <w:pPr>
      <w:tabs>
        <w:tab w:val="center" w:pos="4680"/>
        <w:tab w:val="right" w:pos="9360"/>
      </w:tabs>
      <w:spacing w:after="0" w:line="240" w:lineRule="auto"/>
    </w:pPr>
    <w:rPr>
      <w:rFonts w:ascii="Times New Roman" w:hAnsi="Times New Roman" w:cs="Times New Roman"/>
      <w:color w:val="auto"/>
      <w:sz w:val="24"/>
    </w:rPr>
  </w:style>
  <w:style w:type="character" w:customStyle="1" w:styleId="FooterChar">
    <w:name w:val="Footer Char"/>
    <w:basedOn w:val="DefaultParagraphFont"/>
    <w:link w:val="Footer"/>
    <w:uiPriority w:val="99"/>
    <w:rsid w:val="007E6AD5"/>
    <w:rPr>
      <w:rFonts w:ascii="Times New Roman" w:hAnsi="Times New Roman" w:cs="Times New Roman"/>
      <w:color w:val="auto"/>
      <w:sz w:val="24"/>
    </w:rPr>
  </w:style>
  <w:style w:type="character" w:customStyle="1" w:styleId="apple-converted-space">
    <w:name w:val="apple-converted-space"/>
    <w:basedOn w:val="DefaultParagraphFont"/>
    <w:rsid w:val="009C3A03"/>
  </w:style>
  <w:style w:type="paragraph" w:styleId="Header">
    <w:name w:val="header"/>
    <w:basedOn w:val="Normal"/>
    <w:link w:val="HeaderChar"/>
    <w:uiPriority w:val="99"/>
    <w:unhideWhenUsed/>
    <w:rsid w:val="00B141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41D5"/>
  </w:style>
  <w:style w:type="paragraph" w:styleId="NoSpacing">
    <w:name w:val="No Spacing"/>
    <w:link w:val="NoSpacingChar"/>
    <w:uiPriority w:val="1"/>
    <w:qFormat/>
    <w:rsid w:val="00B141D5"/>
    <w:pPr>
      <w:spacing w:after="0" w:line="240" w:lineRule="auto"/>
    </w:pPr>
    <w:rPr>
      <w:rFonts w:asciiTheme="minorHAnsi" w:eastAsiaTheme="minorEastAsia" w:hAnsiTheme="minorHAnsi" w:cstheme="minorBidi"/>
      <w:color w:val="auto"/>
    </w:rPr>
  </w:style>
  <w:style w:type="character" w:customStyle="1" w:styleId="NoSpacingChar">
    <w:name w:val="No Spacing Char"/>
    <w:basedOn w:val="DefaultParagraphFont"/>
    <w:link w:val="NoSpacing"/>
    <w:uiPriority w:val="1"/>
    <w:rsid w:val="00B141D5"/>
    <w:rPr>
      <w:rFonts w:asciiTheme="minorHAnsi" w:eastAsiaTheme="minorEastAsia" w:hAnsiTheme="minorHAnsi" w:cstheme="minorBidi"/>
      <w:color w:val="auto"/>
    </w:rPr>
  </w:style>
  <w:style w:type="paragraph" w:styleId="ListParagraph">
    <w:name w:val="List Paragraph"/>
    <w:basedOn w:val="Normal"/>
    <w:uiPriority w:val="34"/>
    <w:qFormat/>
    <w:rsid w:val="00A37DC8"/>
    <w:pPr>
      <w:ind w:left="720"/>
      <w:contextualSpacing/>
    </w:pPr>
  </w:style>
  <w:style w:type="paragraph" w:styleId="CommentSubject">
    <w:name w:val="annotation subject"/>
    <w:basedOn w:val="CommentText"/>
    <w:next w:val="CommentText"/>
    <w:link w:val="CommentSubjectChar"/>
    <w:uiPriority w:val="99"/>
    <w:semiHidden/>
    <w:unhideWhenUsed/>
    <w:rsid w:val="00E27549"/>
    <w:rPr>
      <w:b/>
      <w:bCs/>
    </w:rPr>
  </w:style>
  <w:style w:type="character" w:customStyle="1" w:styleId="CommentSubjectChar">
    <w:name w:val="Comment Subject Char"/>
    <w:basedOn w:val="CommentTextChar"/>
    <w:link w:val="CommentSubject"/>
    <w:uiPriority w:val="99"/>
    <w:semiHidden/>
    <w:rsid w:val="00E27549"/>
    <w:rPr>
      <w:b/>
      <w:bCs/>
      <w:sz w:val="20"/>
      <w:szCs w:val="20"/>
    </w:rPr>
  </w:style>
  <w:style w:type="table" w:styleId="TableGrid">
    <w:name w:val="Table Grid"/>
    <w:basedOn w:val="TableNormal"/>
    <w:uiPriority w:val="39"/>
    <w:rsid w:val="00226BC6"/>
    <w:pPr>
      <w:spacing w:after="0" w:line="240" w:lineRule="auto"/>
    </w:pPr>
    <w:rPr>
      <w:rFonts w:asciiTheme="minorHAnsi" w:eastAsiaTheme="minorHAnsi" w:hAnsiTheme="minorHAnsi" w:cstheme="minorBid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B71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113857">
      <w:bodyDiv w:val="1"/>
      <w:marLeft w:val="0"/>
      <w:marRight w:val="0"/>
      <w:marTop w:val="0"/>
      <w:marBottom w:val="0"/>
      <w:divBdr>
        <w:top w:val="none" w:sz="0" w:space="0" w:color="auto"/>
        <w:left w:val="none" w:sz="0" w:space="0" w:color="auto"/>
        <w:bottom w:val="none" w:sz="0" w:space="0" w:color="auto"/>
        <w:right w:val="none" w:sz="0" w:space="0" w:color="auto"/>
      </w:divBdr>
    </w:div>
    <w:div w:id="577641037">
      <w:bodyDiv w:val="1"/>
      <w:marLeft w:val="0"/>
      <w:marRight w:val="0"/>
      <w:marTop w:val="0"/>
      <w:marBottom w:val="0"/>
      <w:divBdr>
        <w:top w:val="none" w:sz="0" w:space="0" w:color="auto"/>
        <w:left w:val="none" w:sz="0" w:space="0" w:color="auto"/>
        <w:bottom w:val="none" w:sz="0" w:space="0" w:color="auto"/>
        <w:right w:val="none" w:sz="0" w:space="0" w:color="auto"/>
      </w:divBdr>
      <w:divsChild>
        <w:div w:id="1858494140">
          <w:marLeft w:val="0"/>
          <w:marRight w:val="0"/>
          <w:marTop w:val="0"/>
          <w:marBottom w:val="0"/>
          <w:divBdr>
            <w:top w:val="none" w:sz="0" w:space="0" w:color="auto"/>
            <w:left w:val="none" w:sz="0" w:space="0" w:color="auto"/>
            <w:bottom w:val="none" w:sz="0" w:space="0" w:color="auto"/>
            <w:right w:val="none" w:sz="0" w:space="0" w:color="auto"/>
          </w:divBdr>
        </w:div>
      </w:divsChild>
    </w:div>
    <w:div w:id="1074473523">
      <w:bodyDiv w:val="1"/>
      <w:marLeft w:val="0"/>
      <w:marRight w:val="0"/>
      <w:marTop w:val="0"/>
      <w:marBottom w:val="0"/>
      <w:divBdr>
        <w:top w:val="none" w:sz="0" w:space="0" w:color="auto"/>
        <w:left w:val="none" w:sz="0" w:space="0" w:color="auto"/>
        <w:bottom w:val="none" w:sz="0" w:space="0" w:color="auto"/>
        <w:right w:val="none" w:sz="0" w:space="0" w:color="auto"/>
      </w:divBdr>
    </w:div>
    <w:div w:id="1111511126">
      <w:bodyDiv w:val="1"/>
      <w:marLeft w:val="0"/>
      <w:marRight w:val="0"/>
      <w:marTop w:val="0"/>
      <w:marBottom w:val="0"/>
      <w:divBdr>
        <w:top w:val="none" w:sz="0" w:space="0" w:color="auto"/>
        <w:left w:val="none" w:sz="0" w:space="0" w:color="auto"/>
        <w:bottom w:val="none" w:sz="0" w:space="0" w:color="auto"/>
        <w:right w:val="none" w:sz="0" w:space="0" w:color="auto"/>
      </w:divBdr>
    </w:div>
    <w:div w:id="1373841886">
      <w:bodyDiv w:val="1"/>
      <w:marLeft w:val="0"/>
      <w:marRight w:val="0"/>
      <w:marTop w:val="0"/>
      <w:marBottom w:val="0"/>
      <w:divBdr>
        <w:top w:val="none" w:sz="0" w:space="0" w:color="auto"/>
        <w:left w:val="none" w:sz="0" w:space="0" w:color="auto"/>
        <w:bottom w:val="none" w:sz="0" w:space="0" w:color="auto"/>
        <w:right w:val="none" w:sz="0" w:space="0" w:color="auto"/>
      </w:divBdr>
    </w:div>
    <w:div w:id="1494687226">
      <w:bodyDiv w:val="1"/>
      <w:marLeft w:val="0"/>
      <w:marRight w:val="0"/>
      <w:marTop w:val="0"/>
      <w:marBottom w:val="0"/>
      <w:divBdr>
        <w:top w:val="none" w:sz="0" w:space="0" w:color="auto"/>
        <w:left w:val="none" w:sz="0" w:space="0" w:color="auto"/>
        <w:bottom w:val="none" w:sz="0" w:space="0" w:color="auto"/>
        <w:right w:val="none" w:sz="0" w:space="0" w:color="auto"/>
      </w:divBdr>
    </w:div>
    <w:div w:id="1596134238">
      <w:bodyDiv w:val="1"/>
      <w:marLeft w:val="0"/>
      <w:marRight w:val="0"/>
      <w:marTop w:val="0"/>
      <w:marBottom w:val="0"/>
      <w:divBdr>
        <w:top w:val="none" w:sz="0" w:space="0" w:color="auto"/>
        <w:left w:val="none" w:sz="0" w:space="0" w:color="auto"/>
        <w:bottom w:val="none" w:sz="0" w:space="0" w:color="auto"/>
        <w:right w:val="none" w:sz="0" w:space="0" w:color="auto"/>
      </w:divBdr>
    </w:div>
    <w:div w:id="20556120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commentsExtended" Target="commentsExtended.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mments" Target="comments.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1B5389-BA6D-4B48-AC86-88612EA5D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1</Pages>
  <Words>9890</Words>
  <Characters>56377</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66135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McNaughtan</dc:creator>
  <cp:lastModifiedBy>Jon M</cp:lastModifiedBy>
  <cp:revision>9</cp:revision>
  <cp:lastPrinted>2016-10-31T14:44:00Z</cp:lastPrinted>
  <dcterms:created xsi:type="dcterms:W3CDTF">2016-10-31T14:45:00Z</dcterms:created>
  <dcterms:modified xsi:type="dcterms:W3CDTF">2016-12-23T21:26:00Z</dcterms:modified>
</cp:coreProperties>
</file>