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5E1" w:rsidRPr="00B57CA4" w:rsidRDefault="000A05E1" w:rsidP="00EE3F79">
      <w:pPr>
        <w:pStyle w:val="NoSpacing"/>
        <w:rPr>
          <w:rFonts w:ascii="Times New Roman" w:hAnsi="Times New Roman" w:cs="Times New Roman"/>
          <w:sz w:val="20"/>
        </w:rPr>
      </w:pPr>
      <w:r w:rsidRPr="00B57CA4">
        <w:rPr>
          <w:rFonts w:ascii="Times New Roman" w:hAnsi="Times New Roman" w:cs="Times New Roman"/>
          <w:b/>
          <w:color w:val="FF0000"/>
          <w:sz w:val="28"/>
        </w:rPr>
        <w:t>Review of Professors o</w:t>
      </w:r>
      <w:r w:rsidR="000C7381" w:rsidRPr="00B57CA4">
        <w:rPr>
          <w:rFonts w:ascii="Times New Roman" w:hAnsi="Times New Roman" w:cs="Times New Roman"/>
          <w:b/>
          <w:color w:val="FF0000"/>
          <w:sz w:val="28"/>
        </w:rPr>
        <w:t>f Practice</w:t>
      </w:r>
      <w:r w:rsidR="000C7381">
        <w:rPr>
          <w:b/>
          <w:color w:val="FF0000"/>
          <w:sz w:val="28"/>
        </w:rPr>
        <w:tab/>
      </w:r>
      <w:r w:rsidR="000C7381">
        <w:rPr>
          <w:b/>
          <w:color w:val="FF0000"/>
          <w:sz w:val="28"/>
        </w:rPr>
        <w:tab/>
      </w:r>
      <w:r w:rsidR="000C7381">
        <w:rPr>
          <w:b/>
          <w:color w:val="FF0000"/>
          <w:sz w:val="28"/>
        </w:rPr>
        <w:tab/>
      </w:r>
      <w:r w:rsidR="000C7381">
        <w:rPr>
          <w:b/>
          <w:color w:val="FF0000"/>
          <w:sz w:val="28"/>
        </w:rPr>
        <w:tab/>
      </w:r>
      <w:r w:rsidR="000C7381" w:rsidRPr="00B57CA4">
        <w:rPr>
          <w:rFonts w:ascii="Times New Roman" w:hAnsi="Times New Roman" w:cs="Times New Roman"/>
          <w:sz w:val="20"/>
        </w:rPr>
        <w:t>Faculty Council Review 12.16</w:t>
      </w:r>
    </w:p>
    <w:p w:rsidR="00B57CA4" w:rsidRDefault="00B57CA4" w:rsidP="00B57CA4">
      <w:pPr>
        <w:pStyle w:val="NoSpacing"/>
        <w:rPr>
          <w:rFonts w:ascii="Times New Roman" w:hAnsi="Times New Roman" w:cs="Times New Roman"/>
          <w:sz w:val="20"/>
        </w:rPr>
      </w:pPr>
      <w:r w:rsidRPr="00B57CA4">
        <w:rPr>
          <w:rFonts w:ascii="Times New Roman" w:hAnsi="Times New Roman" w:cs="Times New Roman"/>
          <w:sz w:val="20"/>
        </w:rPr>
        <w:tab/>
      </w:r>
      <w:r w:rsidRPr="00B57CA4">
        <w:rPr>
          <w:rFonts w:ascii="Times New Roman" w:hAnsi="Times New Roman" w:cs="Times New Roman"/>
          <w:sz w:val="20"/>
        </w:rPr>
        <w:tab/>
      </w:r>
      <w:r w:rsidRPr="00B57CA4">
        <w:rPr>
          <w:rFonts w:ascii="Times New Roman" w:hAnsi="Times New Roman" w:cs="Times New Roman"/>
          <w:sz w:val="20"/>
        </w:rPr>
        <w:tab/>
      </w:r>
      <w:r w:rsidRPr="00B57CA4">
        <w:rPr>
          <w:rFonts w:ascii="Times New Roman" w:hAnsi="Times New Roman" w:cs="Times New Roman"/>
          <w:sz w:val="20"/>
        </w:rPr>
        <w:tab/>
      </w:r>
      <w:r w:rsidRPr="00B57CA4">
        <w:rPr>
          <w:rFonts w:ascii="Times New Roman" w:hAnsi="Times New Roman" w:cs="Times New Roman"/>
          <w:sz w:val="20"/>
        </w:rPr>
        <w:tab/>
      </w:r>
      <w:r w:rsidRPr="00B57CA4">
        <w:rPr>
          <w:rFonts w:ascii="Times New Roman" w:hAnsi="Times New Roman" w:cs="Times New Roman"/>
          <w:sz w:val="20"/>
        </w:rPr>
        <w:tab/>
      </w:r>
      <w:r w:rsidRPr="00B57CA4">
        <w:rPr>
          <w:rFonts w:ascii="Times New Roman" w:hAnsi="Times New Roman" w:cs="Times New Roman"/>
          <w:sz w:val="20"/>
        </w:rPr>
        <w:tab/>
      </w:r>
      <w:r w:rsidRPr="00B57CA4">
        <w:rPr>
          <w:rFonts w:ascii="Times New Roman" w:hAnsi="Times New Roman" w:cs="Times New Roman"/>
          <w:sz w:val="20"/>
        </w:rPr>
        <w:tab/>
      </w:r>
      <w:r w:rsidRPr="00B57CA4">
        <w:rPr>
          <w:rFonts w:ascii="Times New Roman" w:hAnsi="Times New Roman" w:cs="Times New Roman"/>
          <w:sz w:val="20"/>
        </w:rPr>
        <w:tab/>
        <w:t>P&amp;T Committee Review 2.16</w:t>
      </w:r>
    </w:p>
    <w:p w:rsidR="00EE3F79" w:rsidRDefault="00EE3F79" w:rsidP="00EE3F79">
      <w:pPr>
        <w:pStyle w:val="NoSpacing"/>
        <w:ind w:left="5760" w:firstLine="720"/>
        <w:rPr>
          <w:rFonts w:ascii="Times New Roman" w:hAnsi="Times New Roman" w:cs="Times New Roman"/>
          <w:sz w:val="20"/>
        </w:rPr>
      </w:pPr>
      <w:r>
        <w:rPr>
          <w:rFonts w:ascii="Times New Roman" w:hAnsi="Times New Roman" w:cs="Times New Roman"/>
          <w:sz w:val="20"/>
        </w:rPr>
        <w:t>Faculty Approval 10.5.17</w:t>
      </w:r>
    </w:p>
    <w:p w:rsidR="00EE3F79" w:rsidRPr="00B57CA4" w:rsidRDefault="00EE3F79" w:rsidP="00EE3F79">
      <w:pPr>
        <w:pStyle w:val="NoSpacing"/>
        <w:ind w:left="5760" w:firstLine="720"/>
        <w:rPr>
          <w:rFonts w:ascii="Times New Roman" w:hAnsi="Times New Roman" w:cs="Times New Roman"/>
          <w:sz w:val="20"/>
        </w:rPr>
      </w:pPr>
      <w:bookmarkStart w:id="0" w:name="_GoBack"/>
      <w:bookmarkEnd w:id="0"/>
    </w:p>
    <w:p w:rsidR="000A05E1" w:rsidRDefault="000A05E1" w:rsidP="000A05E1">
      <w:pPr>
        <w:jc w:val="center"/>
        <w:rPr>
          <w:rFonts w:ascii="Times New Roman" w:hAnsi="Times New Roman" w:cs="Times New Roman"/>
          <w:b/>
          <w:sz w:val="24"/>
        </w:rPr>
      </w:pPr>
      <w:r>
        <w:rPr>
          <w:rFonts w:ascii="Times New Roman" w:hAnsi="Times New Roman" w:cs="Times New Roman"/>
          <w:b/>
          <w:sz w:val="24"/>
        </w:rPr>
        <w:t>Sources of Authority</w:t>
      </w:r>
    </w:p>
    <w:p w:rsidR="000A05E1" w:rsidRPr="009D7145" w:rsidRDefault="000A05E1" w:rsidP="000A05E1">
      <w:pPr>
        <w:rPr>
          <w:rFonts w:ascii="Times New Roman" w:hAnsi="Times New Roman" w:cs="Times New Roman"/>
          <w:b/>
          <w:sz w:val="24"/>
        </w:rPr>
      </w:pPr>
      <w:r>
        <w:rPr>
          <w:rFonts w:ascii="Times New Roman" w:hAnsi="Times New Roman" w:cs="Times New Roman"/>
          <w:b/>
          <w:sz w:val="24"/>
        </w:rPr>
        <w:t xml:space="preserve">Related OP: </w:t>
      </w:r>
      <w:hyperlink r:id="rId5" w:history="1">
        <w:r w:rsidRPr="00E2368C">
          <w:rPr>
            <w:rStyle w:val="Hyperlink"/>
            <w:rFonts w:ascii="Times New Roman" w:hAnsi="Times New Roman" w:cs="Times New Roman"/>
            <w:b/>
            <w:sz w:val="24"/>
          </w:rPr>
          <w:t>http://www.depts.ttu.edu/opmanual/OP32.17.php</w:t>
        </w:r>
      </w:hyperlink>
      <w:r>
        <w:rPr>
          <w:rFonts w:ascii="Times New Roman" w:hAnsi="Times New Roman" w:cs="Times New Roman"/>
          <w:b/>
          <w:sz w:val="24"/>
        </w:rPr>
        <w:t xml:space="preserve"> </w:t>
      </w:r>
    </w:p>
    <w:p w:rsidR="000A05E1" w:rsidRPr="000C7381" w:rsidRDefault="000A05E1" w:rsidP="000A05E1">
      <w:pPr>
        <w:shd w:val="clear" w:color="auto" w:fill="FFFFFF"/>
        <w:spacing w:after="0" w:line="240" w:lineRule="auto"/>
        <w:rPr>
          <w:rFonts w:ascii="Times New Roman" w:eastAsia="Times New Roman" w:hAnsi="Times New Roman" w:cs="Times New Roman"/>
          <w:color w:val="000000" w:themeColor="text1"/>
          <w:sz w:val="24"/>
          <w:szCs w:val="24"/>
        </w:rPr>
      </w:pPr>
      <w:r w:rsidRPr="000C7381">
        <w:rPr>
          <w:rFonts w:ascii="Times New Roman" w:eastAsia="Times New Roman" w:hAnsi="Times New Roman" w:cs="Times New Roman"/>
          <w:color w:val="000000" w:themeColor="text1"/>
          <w:sz w:val="24"/>
          <w:szCs w:val="24"/>
        </w:rPr>
        <w:t>Assistant, Associate or Professor of Practice are titles designated in OP 32.17. These appointments are designated for the following and subject to the following restrictions:</w:t>
      </w:r>
    </w:p>
    <w:p w:rsidR="000A05E1" w:rsidRPr="000C7381" w:rsidRDefault="000A05E1" w:rsidP="000A05E1">
      <w:pPr>
        <w:shd w:val="clear" w:color="auto" w:fill="FFFFFF"/>
        <w:spacing w:after="0" w:line="240" w:lineRule="auto"/>
        <w:rPr>
          <w:rFonts w:ascii="Times New Roman" w:eastAsia="Times New Roman" w:hAnsi="Times New Roman" w:cs="Times New Roman"/>
          <w:color w:val="000000" w:themeColor="text1"/>
          <w:sz w:val="24"/>
          <w:szCs w:val="24"/>
        </w:rPr>
      </w:pPr>
    </w:p>
    <w:p w:rsidR="000A05E1" w:rsidRPr="000C7381" w:rsidRDefault="000A05E1" w:rsidP="000A05E1">
      <w:pPr>
        <w:shd w:val="clear" w:color="auto" w:fill="FFFFFF"/>
        <w:spacing w:after="0" w:line="240" w:lineRule="auto"/>
        <w:rPr>
          <w:rFonts w:ascii="Times New Roman" w:eastAsia="Times New Roman" w:hAnsi="Times New Roman" w:cs="Times New Roman"/>
          <w:color w:val="000000" w:themeColor="text1"/>
          <w:sz w:val="24"/>
          <w:szCs w:val="24"/>
        </w:rPr>
      </w:pPr>
      <w:r w:rsidRPr="000C7381">
        <w:rPr>
          <w:rFonts w:ascii="Times New Roman" w:eastAsia="Times New Roman" w:hAnsi="Times New Roman" w:cs="Times New Roman"/>
          <w:color w:val="000000" w:themeColor="text1"/>
          <w:sz w:val="24"/>
          <w:szCs w:val="24"/>
        </w:rPr>
        <w:t>1. For individuals with exceptional backgrounds and achievement in academic, business, government or other professional practice for a decade or more.</w:t>
      </w:r>
    </w:p>
    <w:p w:rsidR="000A05E1" w:rsidRPr="000C7381" w:rsidRDefault="000A05E1" w:rsidP="000A05E1">
      <w:pPr>
        <w:shd w:val="clear" w:color="auto" w:fill="FFFFFF"/>
        <w:spacing w:after="0" w:line="240" w:lineRule="auto"/>
        <w:rPr>
          <w:rFonts w:ascii="Times New Roman" w:eastAsia="Times New Roman" w:hAnsi="Times New Roman" w:cs="Times New Roman"/>
          <w:color w:val="000000" w:themeColor="text1"/>
          <w:sz w:val="24"/>
          <w:szCs w:val="24"/>
        </w:rPr>
      </w:pPr>
      <w:r w:rsidRPr="000C7381">
        <w:rPr>
          <w:rFonts w:ascii="Times New Roman" w:eastAsia="Times New Roman" w:hAnsi="Times New Roman" w:cs="Times New Roman"/>
          <w:color w:val="000000" w:themeColor="text1"/>
          <w:sz w:val="24"/>
          <w:szCs w:val="24"/>
        </w:rPr>
        <w:t>2. Primary responsibilities normal will be to teach in an area of expertise, mentor students in professional and other career preparations, and liaise with professional contacts and entities on behalf of the departments or program.</w:t>
      </w:r>
    </w:p>
    <w:p w:rsidR="000A05E1" w:rsidRPr="000C7381" w:rsidRDefault="000A05E1" w:rsidP="000A05E1">
      <w:pPr>
        <w:shd w:val="clear" w:color="auto" w:fill="FFFFFF"/>
        <w:spacing w:after="0" w:line="240" w:lineRule="auto"/>
        <w:rPr>
          <w:rFonts w:ascii="Times New Roman" w:eastAsia="Times New Roman" w:hAnsi="Times New Roman" w:cs="Times New Roman"/>
          <w:color w:val="000000" w:themeColor="text1"/>
          <w:sz w:val="24"/>
          <w:szCs w:val="24"/>
        </w:rPr>
      </w:pPr>
      <w:r w:rsidRPr="000C7381">
        <w:rPr>
          <w:rFonts w:ascii="Times New Roman" w:eastAsia="Times New Roman" w:hAnsi="Times New Roman" w:cs="Times New Roman"/>
          <w:color w:val="000000" w:themeColor="text1"/>
          <w:sz w:val="24"/>
          <w:szCs w:val="24"/>
        </w:rPr>
        <w:t>3. In some instances there may be opportunities and expectations for these individuals to produce research, publications, or creative expressions relative to their professional expertise</w:t>
      </w:r>
      <w:r w:rsidR="00B57CA4">
        <w:rPr>
          <w:rFonts w:ascii="Times New Roman" w:eastAsia="Times New Roman" w:hAnsi="Times New Roman" w:cs="Times New Roman"/>
          <w:color w:val="000000" w:themeColor="text1"/>
          <w:sz w:val="24"/>
          <w:szCs w:val="24"/>
        </w:rPr>
        <w:t xml:space="preserve"> but that is not a requirement</w:t>
      </w:r>
      <w:r w:rsidRPr="000C7381">
        <w:rPr>
          <w:rFonts w:ascii="Times New Roman" w:eastAsia="Times New Roman" w:hAnsi="Times New Roman" w:cs="Times New Roman"/>
          <w:color w:val="000000" w:themeColor="text1"/>
          <w:sz w:val="24"/>
          <w:szCs w:val="24"/>
        </w:rPr>
        <w:t>.</w:t>
      </w:r>
    </w:p>
    <w:p w:rsidR="000A05E1" w:rsidRPr="009D7145" w:rsidRDefault="000A05E1" w:rsidP="000A05E1">
      <w:pPr>
        <w:shd w:val="clear" w:color="auto" w:fill="FFFFFF"/>
        <w:spacing w:after="0" w:line="240" w:lineRule="auto"/>
        <w:rPr>
          <w:rFonts w:ascii="Times New Roman" w:eastAsia="Times New Roman" w:hAnsi="Times New Roman" w:cs="Times New Roman"/>
          <w:color w:val="000000" w:themeColor="text1"/>
          <w:sz w:val="24"/>
          <w:szCs w:val="24"/>
        </w:rPr>
      </w:pPr>
      <w:r w:rsidRPr="000C7381">
        <w:rPr>
          <w:rFonts w:ascii="Times New Roman" w:eastAsia="Times New Roman" w:hAnsi="Times New Roman" w:cs="Times New Roman"/>
          <w:color w:val="000000" w:themeColor="text1"/>
          <w:sz w:val="24"/>
          <w:szCs w:val="24"/>
        </w:rPr>
        <w:t>4. A master’s degree in the discipline or the substantiated equivalent in professional experience is a qualification.</w:t>
      </w:r>
    </w:p>
    <w:p w:rsidR="000A05E1" w:rsidRPr="009D7145" w:rsidRDefault="000A05E1" w:rsidP="000A05E1">
      <w:pPr>
        <w:shd w:val="clear" w:color="auto" w:fill="FFFFFF"/>
        <w:spacing w:after="0" w:line="240" w:lineRule="auto"/>
        <w:rPr>
          <w:rFonts w:ascii="Times New Roman" w:eastAsia="Times New Roman" w:hAnsi="Times New Roman" w:cs="Times New Roman"/>
          <w:color w:val="CC0000"/>
          <w:sz w:val="24"/>
          <w:szCs w:val="24"/>
        </w:rPr>
      </w:pPr>
    </w:p>
    <w:p w:rsidR="000A05E1" w:rsidRPr="00311C94" w:rsidRDefault="000A05E1" w:rsidP="000A05E1">
      <w:pPr>
        <w:tabs>
          <w:tab w:val="left" w:pos="4755"/>
        </w:tabs>
        <w:rPr>
          <w:rFonts w:ascii="Times New Roman" w:hAnsi="Times New Roman" w:cs="Times New Roman"/>
          <w:sz w:val="24"/>
        </w:rPr>
      </w:pPr>
      <w:r w:rsidRPr="00311C94">
        <w:rPr>
          <w:rFonts w:ascii="Times New Roman" w:hAnsi="Times New Roman" w:cs="Times New Roman"/>
          <w:color w:val="000000"/>
          <w:sz w:val="24"/>
        </w:rPr>
        <w:t xml:space="preserve">Each person employed as a Professor of Practice is expected to describe how her or his work and accomplishments align with COE and </w:t>
      </w:r>
      <w:r w:rsidRPr="00311C94">
        <w:rPr>
          <w:rFonts w:ascii="Times New Roman" w:hAnsi="Times New Roman" w:cs="Times New Roman"/>
          <w:sz w:val="24"/>
        </w:rPr>
        <w:t xml:space="preserve">University missions </w:t>
      </w:r>
      <w:r w:rsidRPr="00311C94">
        <w:rPr>
          <w:rFonts w:ascii="Times New Roman" w:hAnsi="Times New Roman" w:cs="Times New Roman"/>
          <w:color w:val="000000"/>
          <w:sz w:val="24"/>
        </w:rPr>
        <w:t xml:space="preserve">and priorities. </w:t>
      </w:r>
      <w:r w:rsidRPr="00311C94">
        <w:rPr>
          <w:rFonts w:ascii="Times New Roman" w:hAnsi="Times New Roman" w:cs="Times New Roman"/>
          <w:sz w:val="24"/>
        </w:rPr>
        <w:t xml:space="preserve">Given the importance of the University’s OP 32.01, every COE faculty member is strongly encouraged to become knowledgeable of its details as they apply to become a </w:t>
      </w:r>
      <w:r w:rsidRPr="00311C94">
        <w:rPr>
          <w:rFonts w:ascii="Times New Roman" w:hAnsi="Times New Roman" w:cs="Times New Roman"/>
          <w:color w:val="000000"/>
          <w:sz w:val="24"/>
        </w:rPr>
        <w:t>Professor of Practice</w:t>
      </w:r>
      <w:r w:rsidRPr="00311C94">
        <w:rPr>
          <w:rFonts w:ascii="Times New Roman" w:hAnsi="Times New Roman" w:cs="Times New Roman"/>
          <w:sz w:val="24"/>
        </w:rPr>
        <w:t>.</w:t>
      </w:r>
    </w:p>
    <w:p w:rsidR="000A05E1" w:rsidRPr="00311C94" w:rsidRDefault="000A05E1" w:rsidP="000A05E1">
      <w:pPr>
        <w:rPr>
          <w:rFonts w:ascii="Times New Roman" w:hAnsi="Times New Roman" w:cs="Times New Roman"/>
          <w:sz w:val="24"/>
        </w:rPr>
      </w:pPr>
      <w:r w:rsidRPr="00311C94">
        <w:rPr>
          <w:rFonts w:ascii="Times New Roman" w:hAnsi="Times New Roman" w:cs="Times New Roman"/>
          <w:sz w:val="24"/>
        </w:rPr>
        <w:t xml:space="preserve">Annual reports must be completed by all Professors of Practice.  Annual reviews must be completed by both the faculty annual review committee and the department </w:t>
      </w:r>
      <w:r w:rsidR="00B57CA4">
        <w:rPr>
          <w:rFonts w:ascii="Times New Roman" w:hAnsi="Times New Roman" w:cs="Times New Roman"/>
          <w:sz w:val="24"/>
        </w:rPr>
        <w:t>c</w:t>
      </w:r>
      <w:r>
        <w:rPr>
          <w:rFonts w:ascii="Times New Roman" w:hAnsi="Times New Roman" w:cs="Times New Roman"/>
          <w:sz w:val="24"/>
        </w:rPr>
        <w:t>hair</w:t>
      </w:r>
      <w:r w:rsidRPr="00311C94">
        <w:rPr>
          <w:rFonts w:ascii="Times New Roman" w:hAnsi="Times New Roman" w:cs="Times New Roman"/>
          <w:sz w:val="24"/>
        </w:rPr>
        <w:t xml:space="preserve"> for each year at Texas Tech University.  </w:t>
      </w:r>
      <w:r w:rsidRPr="00311C94">
        <w:rPr>
          <w:rFonts w:ascii="Times New Roman" w:hAnsi="Times New Roman" w:cs="Times New Roman"/>
          <w:color w:val="000000"/>
          <w:sz w:val="24"/>
        </w:rPr>
        <w:t>Professors of Practice</w:t>
      </w:r>
      <w:r w:rsidRPr="00311C94">
        <w:rPr>
          <w:rFonts w:ascii="Times New Roman" w:hAnsi="Times New Roman" w:cs="Times New Roman"/>
          <w:sz w:val="24"/>
        </w:rPr>
        <w:t xml:space="preserve"> faculty members will complete the following steps in the spring during the third and fifth year of their employment in the COE.  </w:t>
      </w:r>
    </w:p>
    <w:tbl>
      <w:tblPr>
        <w:tblStyle w:val="TableGrid"/>
        <w:tblW w:w="0" w:type="auto"/>
        <w:tblLook w:val="04A0" w:firstRow="1" w:lastRow="0" w:firstColumn="1" w:lastColumn="0" w:noHBand="0" w:noVBand="1"/>
      </w:tblPr>
      <w:tblGrid>
        <w:gridCol w:w="2969"/>
        <w:gridCol w:w="2852"/>
        <w:gridCol w:w="2899"/>
      </w:tblGrid>
      <w:tr w:rsidR="000A05E1" w:rsidRPr="00311C94" w:rsidTr="001D5F90">
        <w:tc>
          <w:tcPr>
            <w:tcW w:w="2969" w:type="dxa"/>
          </w:tcPr>
          <w:p w:rsidR="000A05E1" w:rsidRPr="00311C94" w:rsidRDefault="000A05E1" w:rsidP="001D5F90">
            <w:pPr>
              <w:rPr>
                <w:rFonts w:ascii="Times New Roman" w:hAnsi="Times New Roman" w:cs="Times New Roman"/>
                <w:b/>
                <w:sz w:val="18"/>
              </w:rPr>
            </w:pPr>
            <w:r w:rsidRPr="00311C94">
              <w:rPr>
                <w:rFonts w:ascii="Times New Roman" w:hAnsi="Times New Roman" w:cs="Times New Roman"/>
                <w:b/>
                <w:sz w:val="18"/>
              </w:rPr>
              <w:t>Step</w:t>
            </w:r>
          </w:p>
        </w:tc>
        <w:tc>
          <w:tcPr>
            <w:tcW w:w="2852" w:type="dxa"/>
          </w:tcPr>
          <w:p w:rsidR="000A05E1" w:rsidRPr="00311C94" w:rsidRDefault="000A05E1" w:rsidP="001D5F90">
            <w:pPr>
              <w:rPr>
                <w:rFonts w:ascii="Times New Roman" w:hAnsi="Times New Roman" w:cs="Times New Roman"/>
                <w:b/>
                <w:sz w:val="18"/>
              </w:rPr>
            </w:pPr>
            <w:r w:rsidRPr="00311C94">
              <w:rPr>
                <w:rFonts w:ascii="Times New Roman" w:hAnsi="Times New Roman" w:cs="Times New Roman"/>
                <w:b/>
                <w:sz w:val="18"/>
              </w:rPr>
              <w:t>Date</w:t>
            </w:r>
          </w:p>
        </w:tc>
        <w:tc>
          <w:tcPr>
            <w:tcW w:w="2899" w:type="dxa"/>
          </w:tcPr>
          <w:p w:rsidR="000A05E1" w:rsidRPr="00311C94" w:rsidRDefault="000A05E1" w:rsidP="001D5F90">
            <w:pPr>
              <w:rPr>
                <w:rFonts w:ascii="Times New Roman" w:hAnsi="Times New Roman" w:cs="Times New Roman"/>
                <w:b/>
                <w:sz w:val="18"/>
              </w:rPr>
            </w:pPr>
            <w:r w:rsidRPr="00311C94">
              <w:rPr>
                <w:rFonts w:ascii="Times New Roman" w:hAnsi="Times New Roman" w:cs="Times New Roman"/>
                <w:b/>
                <w:sz w:val="18"/>
              </w:rPr>
              <w:t>Person Responsible</w:t>
            </w:r>
          </w:p>
        </w:tc>
      </w:tr>
      <w:tr w:rsidR="000A05E1" w:rsidRPr="00311C94" w:rsidTr="001D5F90">
        <w:tc>
          <w:tcPr>
            <w:tcW w:w="2969" w:type="dxa"/>
          </w:tcPr>
          <w:p w:rsidR="000A05E1" w:rsidRPr="00311C94" w:rsidRDefault="000A05E1" w:rsidP="001D5F90">
            <w:pPr>
              <w:rPr>
                <w:rFonts w:ascii="Times New Roman" w:hAnsi="Times New Roman" w:cs="Times New Roman"/>
                <w:sz w:val="18"/>
                <w:vertAlign w:val="superscript"/>
              </w:rPr>
            </w:pPr>
            <w:r w:rsidRPr="00311C94">
              <w:rPr>
                <w:rFonts w:ascii="Times New Roman" w:hAnsi="Times New Roman" w:cs="Times New Roman"/>
                <w:sz w:val="18"/>
              </w:rPr>
              <w:t>Submission of electronic dossier</w:t>
            </w:r>
          </w:p>
        </w:tc>
        <w:tc>
          <w:tcPr>
            <w:tcW w:w="2852" w:type="dxa"/>
          </w:tcPr>
          <w:p w:rsidR="000A05E1" w:rsidRPr="00311C94" w:rsidRDefault="000A05E1" w:rsidP="001D5F90">
            <w:pPr>
              <w:rPr>
                <w:rFonts w:ascii="Times New Roman" w:hAnsi="Times New Roman" w:cs="Times New Roman"/>
                <w:sz w:val="18"/>
              </w:rPr>
            </w:pPr>
            <w:r w:rsidRPr="00311C94">
              <w:rPr>
                <w:rFonts w:ascii="Times New Roman" w:hAnsi="Times New Roman" w:cs="Times New Roman"/>
                <w:sz w:val="18"/>
              </w:rPr>
              <w:t xml:space="preserve">Within a week of the receipt of the third year annual review letter provided by the </w:t>
            </w:r>
            <w:r>
              <w:rPr>
                <w:rFonts w:ascii="Times New Roman" w:hAnsi="Times New Roman" w:cs="Times New Roman"/>
                <w:sz w:val="18"/>
              </w:rPr>
              <w:t>Chair</w:t>
            </w:r>
          </w:p>
        </w:tc>
        <w:tc>
          <w:tcPr>
            <w:tcW w:w="2899" w:type="dxa"/>
          </w:tcPr>
          <w:p w:rsidR="000A05E1" w:rsidRPr="00311C94" w:rsidRDefault="000A05E1" w:rsidP="001D5F90">
            <w:pPr>
              <w:rPr>
                <w:rFonts w:ascii="Times New Roman" w:hAnsi="Times New Roman" w:cs="Times New Roman"/>
                <w:sz w:val="18"/>
              </w:rPr>
            </w:pPr>
            <w:r w:rsidRPr="00311C94">
              <w:rPr>
                <w:rFonts w:ascii="Times New Roman" w:hAnsi="Times New Roman" w:cs="Times New Roman"/>
                <w:sz w:val="18"/>
              </w:rPr>
              <w:t>Faculty member</w:t>
            </w:r>
          </w:p>
        </w:tc>
      </w:tr>
      <w:tr w:rsidR="000A05E1" w:rsidRPr="00311C94" w:rsidTr="001D5F90">
        <w:tc>
          <w:tcPr>
            <w:tcW w:w="2969" w:type="dxa"/>
          </w:tcPr>
          <w:p w:rsidR="000A05E1" w:rsidRPr="00311C94" w:rsidRDefault="000A05E1" w:rsidP="001D5F90">
            <w:pPr>
              <w:rPr>
                <w:rFonts w:ascii="Times New Roman" w:hAnsi="Times New Roman" w:cs="Times New Roman"/>
                <w:sz w:val="18"/>
              </w:rPr>
            </w:pPr>
            <w:r w:rsidRPr="00311C94">
              <w:rPr>
                <w:rFonts w:ascii="Times New Roman" w:hAnsi="Times New Roman" w:cs="Times New Roman"/>
                <w:sz w:val="18"/>
              </w:rPr>
              <w:t xml:space="preserve">Dossier review and rating by  faculty in the </w:t>
            </w:r>
            <w:r w:rsidR="000C7381">
              <w:rPr>
                <w:rFonts w:ascii="Times New Roman" w:hAnsi="Times New Roman" w:cs="Times New Roman"/>
                <w:sz w:val="18"/>
              </w:rPr>
              <w:t>D</w:t>
            </w:r>
            <w:r w:rsidRPr="00311C94">
              <w:rPr>
                <w:rFonts w:ascii="Times New Roman" w:hAnsi="Times New Roman" w:cs="Times New Roman"/>
                <w:sz w:val="18"/>
              </w:rPr>
              <w:t>epartment</w:t>
            </w:r>
          </w:p>
        </w:tc>
        <w:tc>
          <w:tcPr>
            <w:tcW w:w="2852" w:type="dxa"/>
          </w:tcPr>
          <w:p w:rsidR="000A05E1" w:rsidRPr="00311C94" w:rsidRDefault="000A05E1" w:rsidP="001D5F90">
            <w:pPr>
              <w:rPr>
                <w:rFonts w:ascii="Times New Roman" w:hAnsi="Times New Roman" w:cs="Times New Roman"/>
                <w:sz w:val="18"/>
              </w:rPr>
            </w:pPr>
            <w:r w:rsidRPr="00311C94">
              <w:rPr>
                <w:rFonts w:ascii="Times New Roman" w:hAnsi="Times New Roman" w:cs="Times New Roman"/>
                <w:sz w:val="18"/>
              </w:rPr>
              <w:t>The third week in March</w:t>
            </w:r>
          </w:p>
        </w:tc>
        <w:tc>
          <w:tcPr>
            <w:tcW w:w="2899" w:type="dxa"/>
          </w:tcPr>
          <w:p w:rsidR="000A05E1" w:rsidRPr="00311C94" w:rsidRDefault="000A05E1" w:rsidP="001D5F90">
            <w:pPr>
              <w:rPr>
                <w:rFonts w:ascii="Times New Roman" w:hAnsi="Times New Roman" w:cs="Times New Roman"/>
                <w:sz w:val="18"/>
              </w:rPr>
            </w:pPr>
            <w:r w:rsidRPr="00311C94">
              <w:rPr>
                <w:rFonts w:ascii="Times New Roman" w:hAnsi="Times New Roman" w:cs="Times New Roman"/>
                <w:sz w:val="18"/>
              </w:rPr>
              <w:t xml:space="preserve">Department </w:t>
            </w:r>
            <w:r>
              <w:rPr>
                <w:rFonts w:ascii="Times New Roman" w:hAnsi="Times New Roman" w:cs="Times New Roman"/>
                <w:sz w:val="18"/>
              </w:rPr>
              <w:t>Chair</w:t>
            </w:r>
          </w:p>
        </w:tc>
      </w:tr>
      <w:tr w:rsidR="000A05E1" w:rsidRPr="00311C94" w:rsidTr="001D5F90">
        <w:tc>
          <w:tcPr>
            <w:tcW w:w="2969" w:type="dxa"/>
          </w:tcPr>
          <w:p w:rsidR="000A05E1" w:rsidRPr="00311C94" w:rsidRDefault="000A05E1" w:rsidP="001D5F90">
            <w:pPr>
              <w:rPr>
                <w:rFonts w:ascii="Times New Roman" w:hAnsi="Times New Roman" w:cs="Times New Roman"/>
                <w:sz w:val="18"/>
              </w:rPr>
            </w:pPr>
            <w:r w:rsidRPr="00311C94">
              <w:rPr>
                <w:rFonts w:ascii="Times New Roman" w:hAnsi="Times New Roman" w:cs="Times New Roman"/>
                <w:sz w:val="18"/>
              </w:rPr>
              <w:t>Dossier review, ra</w:t>
            </w:r>
            <w:r w:rsidR="000C7381">
              <w:rPr>
                <w:rFonts w:ascii="Times New Roman" w:hAnsi="Times New Roman" w:cs="Times New Roman"/>
                <w:sz w:val="18"/>
              </w:rPr>
              <w:t>ting, and third year letter by D</w:t>
            </w:r>
            <w:r w:rsidRPr="00311C94">
              <w:rPr>
                <w:rFonts w:ascii="Times New Roman" w:hAnsi="Times New Roman" w:cs="Times New Roman"/>
                <w:sz w:val="18"/>
              </w:rPr>
              <w:t xml:space="preserve">epartment </w:t>
            </w:r>
            <w:r>
              <w:rPr>
                <w:rFonts w:ascii="Times New Roman" w:hAnsi="Times New Roman" w:cs="Times New Roman"/>
                <w:sz w:val="18"/>
              </w:rPr>
              <w:t>Chair</w:t>
            </w:r>
            <w:r w:rsidRPr="00311C94">
              <w:rPr>
                <w:rFonts w:ascii="Times New Roman" w:hAnsi="Times New Roman" w:cs="Times New Roman"/>
                <w:sz w:val="18"/>
              </w:rPr>
              <w:t xml:space="preserve"> </w:t>
            </w:r>
          </w:p>
        </w:tc>
        <w:tc>
          <w:tcPr>
            <w:tcW w:w="2852" w:type="dxa"/>
          </w:tcPr>
          <w:p w:rsidR="000A05E1" w:rsidRPr="00311C94" w:rsidRDefault="000A05E1" w:rsidP="001D5F90">
            <w:pPr>
              <w:rPr>
                <w:rFonts w:ascii="Times New Roman" w:hAnsi="Times New Roman" w:cs="Times New Roman"/>
                <w:sz w:val="18"/>
              </w:rPr>
            </w:pPr>
            <w:r w:rsidRPr="00311C94">
              <w:rPr>
                <w:rFonts w:ascii="Times New Roman" w:hAnsi="Times New Roman" w:cs="Times New Roman"/>
                <w:sz w:val="18"/>
              </w:rPr>
              <w:t>The third week in March</w:t>
            </w:r>
          </w:p>
        </w:tc>
        <w:tc>
          <w:tcPr>
            <w:tcW w:w="2899" w:type="dxa"/>
          </w:tcPr>
          <w:p w:rsidR="000A05E1" w:rsidRPr="00311C94" w:rsidRDefault="000A05E1" w:rsidP="001D5F90">
            <w:pPr>
              <w:rPr>
                <w:rFonts w:ascii="Times New Roman" w:hAnsi="Times New Roman" w:cs="Times New Roman"/>
                <w:sz w:val="18"/>
              </w:rPr>
            </w:pPr>
            <w:r w:rsidRPr="00311C94">
              <w:rPr>
                <w:rFonts w:ascii="Times New Roman" w:hAnsi="Times New Roman" w:cs="Times New Roman"/>
                <w:sz w:val="18"/>
              </w:rPr>
              <w:t xml:space="preserve">Department </w:t>
            </w:r>
            <w:r>
              <w:rPr>
                <w:rFonts w:ascii="Times New Roman" w:hAnsi="Times New Roman" w:cs="Times New Roman"/>
                <w:sz w:val="18"/>
              </w:rPr>
              <w:t>Chair</w:t>
            </w:r>
          </w:p>
        </w:tc>
      </w:tr>
      <w:tr w:rsidR="000A05E1" w:rsidRPr="00311C94" w:rsidTr="001D5F90">
        <w:tc>
          <w:tcPr>
            <w:tcW w:w="2969" w:type="dxa"/>
          </w:tcPr>
          <w:p w:rsidR="000A05E1" w:rsidRPr="00311C94" w:rsidRDefault="000A05E1" w:rsidP="001D5F90">
            <w:pPr>
              <w:rPr>
                <w:rFonts w:ascii="Times New Roman" w:hAnsi="Times New Roman" w:cs="Times New Roman"/>
                <w:sz w:val="18"/>
                <w:vertAlign w:val="superscript"/>
              </w:rPr>
            </w:pPr>
            <w:r w:rsidRPr="00311C94">
              <w:rPr>
                <w:rFonts w:ascii="Times New Roman" w:hAnsi="Times New Roman" w:cs="Times New Roman"/>
                <w:sz w:val="18"/>
              </w:rPr>
              <w:t xml:space="preserve">Dossier review and rating by P&amp;T Committee </w:t>
            </w:r>
          </w:p>
        </w:tc>
        <w:tc>
          <w:tcPr>
            <w:tcW w:w="2852" w:type="dxa"/>
          </w:tcPr>
          <w:p w:rsidR="000A05E1" w:rsidRPr="00311C94" w:rsidRDefault="000A05E1" w:rsidP="001D5F90">
            <w:pPr>
              <w:rPr>
                <w:rFonts w:ascii="Times New Roman" w:hAnsi="Times New Roman" w:cs="Times New Roman"/>
                <w:sz w:val="18"/>
              </w:rPr>
            </w:pPr>
            <w:r w:rsidRPr="00311C94">
              <w:rPr>
                <w:rFonts w:ascii="Times New Roman" w:hAnsi="Times New Roman" w:cs="Times New Roman"/>
                <w:sz w:val="18"/>
              </w:rPr>
              <w:t>The fourth week in March</w:t>
            </w:r>
          </w:p>
        </w:tc>
        <w:tc>
          <w:tcPr>
            <w:tcW w:w="2899" w:type="dxa"/>
          </w:tcPr>
          <w:p w:rsidR="000A05E1" w:rsidRPr="00311C94" w:rsidRDefault="000A05E1" w:rsidP="001D5F90">
            <w:pPr>
              <w:rPr>
                <w:rFonts w:ascii="Times New Roman" w:hAnsi="Times New Roman" w:cs="Times New Roman"/>
                <w:sz w:val="18"/>
              </w:rPr>
            </w:pPr>
            <w:r w:rsidRPr="00311C94">
              <w:rPr>
                <w:rFonts w:ascii="Times New Roman" w:hAnsi="Times New Roman" w:cs="Times New Roman"/>
                <w:sz w:val="18"/>
              </w:rPr>
              <w:t xml:space="preserve">P&amp;T </w:t>
            </w:r>
            <w:r>
              <w:rPr>
                <w:rFonts w:ascii="Times New Roman" w:hAnsi="Times New Roman" w:cs="Times New Roman"/>
                <w:sz w:val="18"/>
              </w:rPr>
              <w:t>Chair</w:t>
            </w:r>
          </w:p>
        </w:tc>
      </w:tr>
      <w:tr w:rsidR="000A05E1" w:rsidRPr="00311C94" w:rsidTr="001D5F90">
        <w:tc>
          <w:tcPr>
            <w:tcW w:w="2969" w:type="dxa"/>
          </w:tcPr>
          <w:p w:rsidR="000A05E1" w:rsidRPr="00311C94" w:rsidRDefault="000C7381" w:rsidP="001D5F90">
            <w:pPr>
              <w:rPr>
                <w:rFonts w:ascii="Times New Roman" w:hAnsi="Times New Roman" w:cs="Times New Roman"/>
                <w:sz w:val="18"/>
              </w:rPr>
            </w:pPr>
            <w:r>
              <w:rPr>
                <w:rFonts w:ascii="Times New Roman" w:hAnsi="Times New Roman" w:cs="Times New Roman"/>
                <w:sz w:val="18"/>
              </w:rPr>
              <w:lastRenderedPageBreak/>
              <w:t>3</w:t>
            </w:r>
            <w:r w:rsidRPr="000C7381">
              <w:rPr>
                <w:rFonts w:ascii="Times New Roman" w:hAnsi="Times New Roman" w:cs="Times New Roman"/>
                <w:sz w:val="18"/>
                <w:vertAlign w:val="superscript"/>
              </w:rPr>
              <w:t>rd</w:t>
            </w:r>
            <w:r>
              <w:rPr>
                <w:rFonts w:ascii="Times New Roman" w:hAnsi="Times New Roman" w:cs="Times New Roman"/>
                <w:sz w:val="18"/>
              </w:rPr>
              <w:t xml:space="preserve"> Year continuation</w:t>
            </w:r>
            <w:r w:rsidR="000A05E1" w:rsidRPr="00311C94">
              <w:rPr>
                <w:rFonts w:ascii="Times New Roman" w:hAnsi="Times New Roman" w:cs="Times New Roman"/>
                <w:sz w:val="18"/>
              </w:rPr>
              <w:t xml:space="preserve"> recommendation is provided to the dean</w:t>
            </w:r>
          </w:p>
        </w:tc>
        <w:tc>
          <w:tcPr>
            <w:tcW w:w="2852" w:type="dxa"/>
          </w:tcPr>
          <w:p w:rsidR="000A05E1" w:rsidRPr="00311C94" w:rsidRDefault="000A05E1" w:rsidP="001D5F90">
            <w:pPr>
              <w:rPr>
                <w:rFonts w:ascii="Times New Roman" w:hAnsi="Times New Roman" w:cs="Times New Roman"/>
                <w:sz w:val="18"/>
              </w:rPr>
            </w:pPr>
            <w:r w:rsidRPr="00311C94">
              <w:rPr>
                <w:rFonts w:ascii="Times New Roman" w:hAnsi="Times New Roman" w:cs="Times New Roman"/>
                <w:sz w:val="18"/>
              </w:rPr>
              <w:t>The first business day in April</w:t>
            </w:r>
          </w:p>
        </w:tc>
        <w:tc>
          <w:tcPr>
            <w:tcW w:w="2899" w:type="dxa"/>
          </w:tcPr>
          <w:p w:rsidR="000A05E1" w:rsidRPr="00311C94" w:rsidRDefault="000A05E1" w:rsidP="001D5F90">
            <w:pPr>
              <w:rPr>
                <w:rFonts w:ascii="Times New Roman" w:hAnsi="Times New Roman" w:cs="Times New Roman"/>
                <w:sz w:val="18"/>
              </w:rPr>
            </w:pPr>
            <w:r w:rsidRPr="00311C94">
              <w:rPr>
                <w:rFonts w:ascii="Times New Roman" w:hAnsi="Times New Roman" w:cs="Times New Roman"/>
                <w:sz w:val="18"/>
              </w:rPr>
              <w:t xml:space="preserve">P&amp;T </w:t>
            </w:r>
            <w:r>
              <w:rPr>
                <w:rFonts w:ascii="Times New Roman" w:hAnsi="Times New Roman" w:cs="Times New Roman"/>
                <w:sz w:val="18"/>
              </w:rPr>
              <w:t>Chair</w:t>
            </w:r>
          </w:p>
        </w:tc>
      </w:tr>
      <w:tr w:rsidR="000A05E1" w:rsidRPr="00311C94" w:rsidTr="001D5F90">
        <w:tc>
          <w:tcPr>
            <w:tcW w:w="2969" w:type="dxa"/>
          </w:tcPr>
          <w:p w:rsidR="000A05E1" w:rsidRPr="00311C94" w:rsidRDefault="000A05E1" w:rsidP="001D5F90">
            <w:pPr>
              <w:rPr>
                <w:rFonts w:ascii="Times New Roman" w:hAnsi="Times New Roman" w:cs="Times New Roman"/>
                <w:sz w:val="18"/>
              </w:rPr>
            </w:pPr>
            <w:r w:rsidRPr="00311C94">
              <w:rPr>
                <w:rFonts w:ascii="Times New Roman" w:hAnsi="Times New Roman" w:cs="Times New Roman"/>
                <w:sz w:val="18"/>
              </w:rPr>
              <w:t>Dean provides recommendation to the Provost as appropriate</w:t>
            </w:r>
          </w:p>
        </w:tc>
        <w:tc>
          <w:tcPr>
            <w:tcW w:w="2852" w:type="dxa"/>
          </w:tcPr>
          <w:p w:rsidR="000A05E1" w:rsidRPr="00311C94" w:rsidRDefault="000A05E1" w:rsidP="001D5F90">
            <w:pPr>
              <w:rPr>
                <w:rFonts w:ascii="Times New Roman" w:hAnsi="Times New Roman" w:cs="Times New Roman"/>
                <w:sz w:val="18"/>
              </w:rPr>
            </w:pPr>
            <w:r w:rsidRPr="00311C94">
              <w:rPr>
                <w:rFonts w:ascii="Times New Roman" w:hAnsi="Times New Roman" w:cs="Times New Roman"/>
                <w:sz w:val="18"/>
              </w:rPr>
              <w:t>One week following the first business day in April</w:t>
            </w:r>
          </w:p>
        </w:tc>
        <w:tc>
          <w:tcPr>
            <w:tcW w:w="2899" w:type="dxa"/>
          </w:tcPr>
          <w:p w:rsidR="000A05E1" w:rsidRPr="00311C94" w:rsidRDefault="000A05E1" w:rsidP="001D5F90">
            <w:pPr>
              <w:rPr>
                <w:rFonts w:ascii="Times New Roman" w:hAnsi="Times New Roman" w:cs="Times New Roman"/>
                <w:sz w:val="18"/>
              </w:rPr>
            </w:pPr>
            <w:r w:rsidRPr="00311C94">
              <w:rPr>
                <w:rFonts w:ascii="Times New Roman" w:hAnsi="Times New Roman" w:cs="Times New Roman"/>
                <w:sz w:val="18"/>
              </w:rPr>
              <w:t xml:space="preserve">Dean </w:t>
            </w:r>
          </w:p>
        </w:tc>
      </w:tr>
    </w:tbl>
    <w:p w:rsidR="00B57CA4" w:rsidRDefault="00B57CA4" w:rsidP="000A05E1">
      <w:pPr>
        <w:rPr>
          <w:rFonts w:ascii="Times New Roman" w:hAnsi="Times New Roman" w:cs="Times New Roman"/>
          <w:sz w:val="24"/>
        </w:rPr>
      </w:pPr>
    </w:p>
    <w:p w:rsidR="000A05E1" w:rsidRPr="00311C94" w:rsidRDefault="000A05E1" w:rsidP="000A05E1">
      <w:pPr>
        <w:rPr>
          <w:rFonts w:ascii="Times New Roman" w:hAnsi="Times New Roman" w:cs="Times New Roman"/>
          <w:sz w:val="24"/>
        </w:rPr>
      </w:pPr>
      <w:r>
        <w:rPr>
          <w:rFonts w:ascii="Times New Roman" w:hAnsi="Times New Roman" w:cs="Times New Roman"/>
          <w:sz w:val="24"/>
        </w:rPr>
        <w:t>D</w:t>
      </w:r>
      <w:r w:rsidRPr="00311C94">
        <w:rPr>
          <w:rFonts w:ascii="Times New Roman" w:hAnsi="Times New Roman" w:cs="Times New Roman"/>
          <w:sz w:val="24"/>
        </w:rPr>
        <w:t xml:space="preserve">ossiers </w:t>
      </w:r>
      <w:r>
        <w:rPr>
          <w:rFonts w:ascii="Times New Roman" w:hAnsi="Times New Roman" w:cs="Times New Roman"/>
          <w:sz w:val="24"/>
        </w:rPr>
        <w:t xml:space="preserve">for review </w:t>
      </w:r>
      <w:r w:rsidRPr="00311C94">
        <w:rPr>
          <w:rFonts w:ascii="Times New Roman" w:hAnsi="Times New Roman" w:cs="Times New Roman"/>
          <w:sz w:val="24"/>
        </w:rPr>
        <w:t>should include:</w:t>
      </w:r>
    </w:p>
    <w:p w:rsidR="000A05E1" w:rsidRPr="002E514B" w:rsidRDefault="000A05E1" w:rsidP="000A05E1">
      <w:pPr>
        <w:widowControl w:val="0"/>
        <w:numPr>
          <w:ilvl w:val="0"/>
          <w:numId w:val="1"/>
        </w:numPr>
        <w:wordWrap w:val="0"/>
        <w:spacing w:after="0" w:line="240" w:lineRule="auto"/>
        <w:contextualSpacing/>
        <w:rPr>
          <w:rFonts w:ascii="Times New Roman" w:hAnsi="Times New Roman" w:cs="Times New Roman"/>
          <w:color w:val="000000"/>
          <w:sz w:val="24"/>
          <w:szCs w:val="24"/>
        </w:rPr>
      </w:pPr>
      <w:r w:rsidRPr="002E514B">
        <w:rPr>
          <w:rFonts w:ascii="Times New Roman" w:hAnsi="Times New Roman" w:cs="Times New Roman"/>
          <w:sz w:val="24"/>
          <w:szCs w:val="24"/>
        </w:rPr>
        <w:t xml:space="preserve">A cover letter that specifies the COE Operating Procedure for Review of </w:t>
      </w:r>
    </w:p>
    <w:p w:rsidR="000A05E1" w:rsidRPr="002E514B" w:rsidRDefault="000A05E1" w:rsidP="000A05E1">
      <w:pPr>
        <w:ind w:left="720"/>
        <w:contextualSpacing/>
        <w:rPr>
          <w:rFonts w:ascii="Times New Roman" w:hAnsi="Times New Roman" w:cs="Times New Roman"/>
          <w:sz w:val="24"/>
          <w:szCs w:val="24"/>
        </w:rPr>
      </w:pPr>
      <w:r w:rsidRPr="002E514B">
        <w:rPr>
          <w:rFonts w:ascii="Times New Roman" w:hAnsi="Times New Roman" w:cs="Times New Roman"/>
          <w:color w:val="000000"/>
          <w:sz w:val="24"/>
          <w:szCs w:val="24"/>
        </w:rPr>
        <w:t>Professors of Practice</w:t>
      </w:r>
      <w:r w:rsidRPr="002E514B">
        <w:rPr>
          <w:rFonts w:ascii="Times New Roman" w:hAnsi="Times New Roman" w:cs="Times New Roman"/>
          <w:sz w:val="24"/>
          <w:szCs w:val="24"/>
        </w:rPr>
        <w:t xml:space="preserve"> as well as self-analysis and rating</w:t>
      </w:r>
    </w:p>
    <w:p w:rsidR="000A05E1" w:rsidRPr="00311C94" w:rsidRDefault="00B57CA4" w:rsidP="000A05E1">
      <w:pPr>
        <w:widowControl w:val="0"/>
        <w:numPr>
          <w:ilvl w:val="0"/>
          <w:numId w:val="1"/>
        </w:numPr>
        <w:wordWrap w:val="0"/>
        <w:spacing w:after="0" w:line="240" w:lineRule="auto"/>
        <w:contextualSpacing/>
        <w:rPr>
          <w:rFonts w:ascii="Times New Roman" w:hAnsi="Times New Roman" w:cs="Times New Roman"/>
          <w:sz w:val="24"/>
        </w:rPr>
      </w:pPr>
      <w:r>
        <w:rPr>
          <w:rFonts w:ascii="Times New Roman" w:hAnsi="Times New Roman" w:cs="Times New Roman"/>
          <w:sz w:val="24"/>
        </w:rPr>
        <w:t>Appointment letter</w:t>
      </w:r>
    </w:p>
    <w:p w:rsidR="000A05E1" w:rsidRPr="00311C94" w:rsidRDefault="000A05E1" w:rsidP="000A05E1">
      <w:pPr>
        <w:widowControl w:val="0"/>
        <w:numPr>
          <w:ilvl w:val="0"/>
          <w:numId w:val="1"/>
        </w:numPr>
        <w:wordWrap w:val="0"/>
        <w:spacing w:after="0" w:line="240" w:lineRule="auto"/>
        <w:contextualSpacing/>
        <w:rPr>
          <w:rFonts w:ascii="Times New Roman" w:hAnsi="Times New Roman" w:cs="Times New Roman"/>
          <w:sz w:val="24"/>
        </w:rPr>
      </w:pPr>
      <w:r w:rsidRPr="00311C94">
        <w:rPr>
          <w:rFonts w:ascii="Times New Roman" w:hAnsi="Times New Roman" w:cs="Times New Roman"/>
          <w:sz w:val="24"/>
        </w:rPr>
        <w:t>Curriculum vitae</w:t>
      </w:r>
    </w:p>
    <w:p w:rsidR="000A05E1" w:rsidRPr="00311C94" w:rsidRDefault="000A05E1" w:rsidP="000A05E1">
      <w:pPr>
        <w:widowControl w:val="0"/>
        <w:numPr>
          <w:ilvl w:val="0"/>
          <w:numId w:val="1"/>
        </w:numPr>
        <w:wordWrap w:val="0"/>
        <w:spacing w:after="0" w:line="240" w:lineRule="auto"/>
        <w:contextualSpacing/>
        <w:rPr>
          <w:rFonts w:ascii="Times New Roman" w:hAnsi="Times New Roman" w:cs="Times New Roman"/>
          <w:sz w:val="24"/>
        </w:rPr>
      </w:pPr>
      <w:r w:rsidRPr="00311C94">
        <w:rPr>
          <w:rFonts w:ascii="Times New Roman" w:hAnsi="Times New Roman" w:cs="Times New Roman"/>
          <w:sz w:val="24"/>
        </w:rPr>
        <w:t xml:space="preserve">Summaries (1-2 pages) for the faculty member's teaching and service as appropriate. </w:t>
      </w:r>
    </w:p>
    <w:p w:rsidR="000A05E1" w:rsidRPr="00311C94" w:rsidRDefault="000A05E1" w:rsidP="000A05E1">
      <w:pPr>
        <w:widowControl w:val="0"/>
        <w:numPr>
          <w:ilvl w:val="0"/>
          <w:numId w:val="1"/>
        </w:numPr>
        <w:wordWrap w:val="0"/>
        <w:spacing w:after="0" w:line="240" w:lineRule="auto"/>
        <w:contextualSpacing/>
        <w:rPr>
          <w:rFonts w:ascii="Times New Roman" w:hAnsi="Times New Roman" w:cs="Times New Roman"/>
          <w:sz w:val="24"/>
        </w:rPr>
      </w:pPr>
      <w:r w:rsidRPr="00311C94">
        <w:rPr>
          <w:rFonts w:ascii="Times New Roman" w:hAnsi="Times New Roman" w:cs="Times New Roman"/>
          <w:sz w:val="24"/>
        </w:rPr>
        <w:t>The following documentation for the evaluation period must be included in the dossier</w:t>
      </w:r>
    </w:p>
    <w:p w:rsidR="000A05E1" w:rsidRPr="00311C94" w:rsidRDefault="000A05E1" w:rsidP="000A05E1">
      <w:pPr>
        <w:widowControl w:val="0"/>
        <w:numPr>
          <w:ilvl w:val="1"/>
          <w:numId w:val="1"/>
        </w:numPr>
        <w:wordWrap w:val="0"/>
        <w:spacing w:after="0" w:line="240" w:lineRule="auto"/>
        <w:contextualSpacing/>
        <w:rPr>
          <w:rFonts w:ascii="Times New Roman" w:hAnsi="Times New Roman" w:cs="Times New Roman"/>
          <w:sz w:val="24"/>
        </w:rPr>
      </w:pPr>
      <w:r w:rsidRPr="00311C94">
        <w:rPr>
          <w:rFonts w:ascii="Times New Roman" w:hAnsi="Times New Roman" w:cs="Times New Roman"/>
          <w:sz w:val="24"/>
        </w:rPr>
        <w:t>Course evaluation means for each course taught during the evaluation period</w:t>
      </w:r>
    </w:p>
    <w:p w:rsidR="000A05E1" w:rsidRPr="00311C94" w:rsidRDefault="000A05E1" w:rsidP="000A05E1">
      <w:pPr>
        <w:widowControl w:val="0"/>
        <w:numPr>
          <w:ilvl w:val="1"/>
          <w:numId w:val="1"/>
        </w:numPr>
        <w:wordWrap w:val="0"/>
        <w:spacing w:after="0" w:line="240" w:lineRule="auto"/>
        <w:contextualSpacing/>
        <w:rPr>
          <w:rFonts w:ascii="Times New Roman" w:hAnsi="Times New Roman" w:cs="Times New Roman"/>
          <w:sz w:val="24"/>
        </w:rPr>
      </w:pPr>
      <w:r w:rsidRPr="00311C94">
        <w:rPr>
          <w:rFonts w:ascii="Times New Roman" w:hAnsi="Times New Roman" w:cs="Times New Roman"/>
          <w:sz w:val="24"/>
        </w:rPr>
        <w:t xml:space="preserve">A peer review for each year </w:t>
      </w:r>
    </w:p>
    <w:p w:rsidR="000A05E1" w:rsidRDefault="000A05E1" w:rsidP="000A05E1">
      <w:pPr>
        <w:widowControl w:val="0"/>
        <w:numPr>
          <w:ilvl w:val="1"/>
          <w:numId w:val="1"/>
        </w:numPr>
        <w:wordWrap w:val="0"/>
        <w:spacing w:after="0" w:line="240" w:lineRule="auto"/>
        <w:contextualSpacing/>
        <w:rPr>
          <w:rFonts w:ascii="Times New Roman" w:hAnsi="Times New Roman" w:cs="Times New Roman"/>
          <w:sz w:val="24"/>
        </w:rPr>
      </w:pPr>
      <w:r w:rsidRPr="00311C94">
        <w:rPr>
          <w:rFonts w:ascii="Times New Roman" w:hAnsi="Times New Roman" w:cs="Times New Roman"/>
          <w:sz w:val="24"/>
        </w:rPr>
        <w:t xml:space="preserve">Annual Review letters from the </w:t>
      </w:r>
      <w:r>
        <w:rPr>
          <w:rFonts w:ascii="Times New Roman" w:hAnsi="Times New Roman" w:cs="Times New Roman"/>
          <w:sz w:val="24"/>
        </w:rPr>
        <w:t>Chair</w:t>
      </w:r>
      <w:r w:rsidRPr="00311C94">
        <w:rPr>
          <w:rFonts w:ascii="Times New Roman" w:hAnsi="Times New Roman" w:cs="Times New Roman"/>
          <w:sz w:val="24"/>
        </w:rPr>
        <w:t xml:space="preserve"> for each year in the review period</w:t>
      </w:r>
    </w:p>
    <w:p w:rsidR="00B57CA4" w:rsidRDefault="000A05E1" w:rsidP="00B57CA4">
      <w:pPr>
        <w:widowControl w:val="0"/>
        <w:numPr>
          <w:ilvl w:val="1"/>
          <w:numId w:val="1"/>
        </w:numPr>
        <w:wordWrap w:val="0"/>
        <w:spacing w:after="0" w:line="240" w:lineRule="auto"/>
        <w:contextualSpacing/>
        <w:rPr>
          <w:rFonts w:ascii="Times New Roman" w:hAnsi="Times New Roman" w:cs="Times New Roman"/>
          <w:sz w:val="24"/>
        </w:rPr>
      </w:pPr>
      <w:r w:rsidRPr="000A05E1">
        <w:rPr>
          <w:rFonts w:ascii="Times New Roman" w:hAnsi="Times New Roman" w:cs="Times New Roman"/>
          <w:sz w:val="24"/>
        </w:rPr>
        <w:t>Specific description of their service and teaching connection to the field</w:t>
      </w:r>
      <w:r w:rsidRPr="00B57CA4">
        <w:rPr>
          <w:rFonts w:ascii="Times New Roman" w:hAnsi="Times New Roman" w:cs="Times New Roman"/>
          <w:sz w:val="24"/>
        </w:rPr>
        <w:t xml:space="preserve"> </w:t>
      </w:r>
    </w:p>
    <w:p w:rsidR="000A05E1" w:rsidRPr="00B57CA4" w:rsidRDefault="000A05E1" w:rsidP="00B57CA4">
      <w:pPr>
        <w:widowControl w:val="0"/>
        <w:wordWrap w:val="0"/>
        <w:spacing w:after="0" w:line="240" w:lineRule="auto"/>
        <w:ind w:left="1440"/>
        <w:contextualSpacing/>
        <w:rPr>
          <w:rFonts w:ascii="Times New Roman" w:hAnsi="Times New Roman" w:cs="Times New Roman"/>
          <w:sz w:val="24"/>
        </w:rPr>
      </w:pPr>
      <w:r w:rsidRPr="00B57CA4">
        <w:rPr>
          <w:rFonts w:ascii="Times New Roman" w:hAnsi="Times New Roman" w:cs="Times New Roman"/>
          <w:sz w:val="24"/>
        </w:rPr>
        <w:t>demonstrating the bridge between the two.</w:t>
      </w:r>
    </w:p>
    <w:p w:rsidR="000A05E1" w:rsidRPr="000A05E1" w:rsidRDefault="000A05E1" w:rsidP="000A05E1">
      <w:pPr>
        <w:pStyle w:val="ListParagraph"/>
        <w:widowControl w:val="0"/>
        <w:numPr>
          <w:ilvl w:val="0"/>
          <w:numId w:val="3"/>
        </w:numPr>
        <w:wordWrap w:val="0"/>
        <w:spacing w:after="0" w:line="240" w:lineRule="auto"/>
        <w:rPr>
          <w:rFonts w:ascii="Times New Roman" w:hAnsi="Times New Roman" w:cs="Times New Roman"/>
          <w:sz w:val="24"/>
        </w:rPr>
      </w:pPr>
      <w:r>
        <w:rPr>
          <w:rFonts w:ascii="Times New Roman" w:hAnsi="Times New Roman" w:cs="Times New Roman"/>
          <w:sz w:val="24"/>
        </w:rPr>
        <w:t>Evidence of scholarship as appropriate</w:t>
      </w:r>
    </w:p>
    <w:p w:rsidR="000A05E1" w:rsidRPr="00311C94" w:rsidRDefault="000A05E1" w:rsidP="000A05E1">
      <w:pPr>
        <w:pStyle w:val="ListParagraph"/>
        <w:widowControl w:val="0"/>
        <w:wordWrap w:val="0"/>
        <w:spacing w:after="0" w:line="240" w:lineRule="auto"/>
        <w:rPr>
          <w:rFonts w:ascii="Times New Roman" w:hAnsi="Times New Roman" w:cs="Times New Roman"/>
          <w:sz w:val="24"/>
        </w:rPr>
      </w:pPr>
    </w:p>
    <w:p w:rsidR="000A05E1" w:rsidRPr="00311C94" w:rsidRDefault="000A05E1" w:rsidP="000A05E1">
      <w:pPr>
        <w:rPr>
          <w:rFonts w:ascii="Times New Roman" w:hAnsi="Times New Roman" w:cs="Times New Roman"/>
          <w:sz w:val="24"/>
        </w:rPr>
      </w:pPr>
      <w:r w:rsidRPr="00311C94">
        <w:rPr>
          <w:rFonts w:ascii="Times New Roman" w:hAnsi="Times New Roman" w:cs="Times New Roman"/>
          <w:sz w:val="24"/>
        </w:rPr>
        <w:t>Third and fifth year review recommendation choices include:</w:t>
      </w:r>
    </w:p>
    <w:p w:rsidR="000A05E1" w:rsidRPr="00311C94" w:rsidRDefault="000A05E1" w:rsidP="000A05E1">
      <w:pPr>
        <w:pStyle w:val="ListParagraph"/>
        <w:numPr>
          <w:ilvl w:val="0"/>
          <w:numId w:val="2"/>
        </w:numPr>
        <w:spacing w:after="0" w:line="240" w:lineRule="auto"/>
        <w:rPr>
          <w:rFonts w:ascii="Times New Roman" w:hAnsi="Times New Roman" w:cs="Times New Roman"/>
          <w:sz w:val="24"/>
        </w:rPr>
      </w:pPr>
      <w:r w:rsidRPr="00311C94">
        <w:rPr>
          <w:rFonts w:ascii="Times New Roman" w:hAnsi="Times New Roman" w:cs="Times New Roman"/>
          <w:sz w:val="24"/>
        </w:rPr>
        <w:t xml:space="preserve">Continuation: The faculty member’s teaching, scholarship as appropriate, and service cumulative record relative to University OP 32.01 and the College of Education Professor of Practice Policy and Procedures suggests a trajectory consistent with continued employment. </w:t>
      </w:r>
    </w:p>
    <w:p w:rsidR="000A05E1" w:rsidRPr="00311C94" w:rsidRDefault="000A05E1" w:rsidP="000A05E1">
      <w:pPr>
        <w:pStyle w:val="ListParagraph"/>
        <w:numPr>
          <w:ilvl w:val="0"/>
          <w:numId w:val="2"/>
        </w:numPr>
        <w:spacing w:after="0" w:line="240" w:lineRule="auto"/>
        <w:rPr>
          <w:rFonts w:ascii="Times New Roman" w:hAnsi="Times New Roman" w:cs="Times New Roman"/>
          <w:sz w:val="24"/>
        </w:rPr>
      </w:pPr>
      <w:r w:rsidRPr="00311C94">
        <w:rPr>
          <w:rFonts w:ascii="Times New Roman" w:hAnsi="Times New Roman" w:cs="Times New Roman"/>
          <w:sz w:val="24"/>
        </w:rPr>
        <w:t>Continuation with reservation:  The faculty member’s teachin</w:t>
      </w:r>
      <w:r>
        <w:rPr>
          <w:rFonts w:ascii="Times New Roman" w:hAnsi="Times New Roman" w:cs="Times New Roman"/>
          <w:sz w:val="24"/>
        </w:rPr>
        <w:t xml:space="preserve">g, scholarship as appropriate, </w:t>
      </w:r>
      <w:r w:rsidRPr="00311C94">
        <w:rPr>
          <w:rFonts w:ascii="Times New Roman" w:hAnsi="Times New Roman" w:cs="Times New Roman"/>
          <w:sz w:val="24"/>
        </w:rPr>
        <w:t xml:space="preserve">and service cumulative record relative to University OP 32.01 and the College of Education Professor of Practice Policy and Procedures suggests a trajectory that requires additional support to continued employment. </w:t>
      </w:r>
    </w:p>
    <w:p w:rsidR="000A05E1" w:rsidRDefault="000A05E1" w:rsidP="000A05E1">
      <w:pPr>
        <w:pStyle w:val="ListParagraph"/>
        <w:numPr>
          <w:ilvl w:val="0"/>
          <w:numId w:val="2"/>
        </w:numPr>
        <w:spacing w:after="0" w:line="240" w:lineRule="auto"/>
        <w:rPr>
          <w:rFonts w:ascii="Times New Roman" w:hAnsi="Times New Roman" w:cs="Times New Roman"/>
          <w:sz w:val="24"/>
        </w:rPr>
      </w:pPr>
      <w:r w:rsidRPr="00311C94">
        <w:rPr>
          <w:rFonts w:ascii="Times New Roman" w:hAnsi="Times New Roman" w:cs="Times New Roman"/>
          <w:sz w:val="24"/>
        </w:rPr>
        <w:t>Discontinuation: The faculty member’s teaching, scholarship as appropriate, and service cumulative record relative to University OP 32.01 and the College of Education Professor of Practice Policy and Procedures suggests a trajectory that is not consistent with</w:t>
      </w:r>
      <w:r>
        <w:rPr>
          <w:rFonts w:ascii="Times New Roman" w:hAnsi="Times New Roman" w:cs="Times New Roman"/>
          <w:sz w:val="24"/>
        </w:rPr>
        <w:t xml:space="preserve"> </w:t>
      </w:r>
      <w:r w:rsidRPr="00311C94">
        <w:rPr>
          <w:rFonts w:ascii="Times New Roman" w:hAnsi="Times New Roman" w:cs="Times New Roman"/>
          <w:sz w:val="24"/>
        </w:rPr>
        <w:t xml:space="preserve">continued employment. </w:t>
      </w:r>
    </w:p>
    <w:p w:rsidR="000A05E1" w:rsidRPr="00311C94" w:rsidRDefault="000A05E1" w:rsidP="000A05E1">
      <w:pPr>
        <w:pStyle w:val="ListParagraph"/>
        <w:spacing w:after="0" w:line="240" w:lineRule="auto"/>
        <w:rPr>
          <w:rFonts w:ascii="Times New Roman" w:hAnsi="Times New Roman" w:cs="Times New Roman"/>
          <w:sz w:val="24"/>
        </w:rPr>
      </w:pPr>
    </w:p>
    <w:p w:rsidR="000A05E1" w:rsidRPr="00311C94" w:rsidRDefault="000A05E1" w:rsidP="000A05E1">
      <w:pPr>
        <w:rPr>
          <w:rFonts w:ascii="Times New Roman" w:hAnsi="Times New Roman" w:cs="Times New Roman"/>
          <w:sz w:val="24"/>
        </w:rPr>
      </w:pPr>
      <w:r w:rsidRPr="00311C94">
        <w:rPr>
          <w:rFonts w:ascii="Times New Roman" w:hAnsi="Times New Roman" w:cs="Times New Roman"/>
          <w:sz w:val="24"/>
        </w:rPr>
        <w:t>Professors of Practice positions will be for multi-year renewable appointments (e.g. 3-5 years) contingent on successful annual and cumulative performance appraisals and a majority affirmative vote of the department.  A department, by a majority affirmative vote may recommend that a Professor of Practice be considered by the dean for continuing appointment upon six years of continuous full-time service in the appointment.</w:t>
      </w:r>
    </w:p>
    <w:p w:rsidR="000A05E1" w:rsidRPr="00311C94" w:rsidRDefault="000A05E1" w:rsidP="000A05E1">
      <w:pPr>
        <w:rPr>
          <w:rFonts w:ascii="Times New Roman" w:hAnsi="Times New Roman" w:cs="Times New Roman"/>
          <w:sz w:val="24"/>
        </w:rPr>
      </w:pPr>
      <w:r w:rsidRPr="00311C94">
        <w:rPr>
          <w:rFonts w:ascii="Times New Roman" w:hAnsi="Times New Roman" w:cs="Times New Roman"/>
          <w:sz w:val="24"/>
        </w:rPr>
        <w:t xml:space="preserve">Professors of Practice may be eligible for graduate faculty status subject to a majority vote of the department.  However, they must met the qualifications of scholarship as described in the COE </w:t>
      </w:r>
      <w:r w:rsidRPr="00311C94">
        <w:rPr>
          <w:rFonts w:ascii="Times New Roman" w:hAnsi="Times New Roman" w:cs="Times New Roman"/>
          <w:sz w:val="24"/>
        </w:rPr>
        <w:lastRenderedPageBreak/>
        <w:t>Promotion and Tenure Policy.</w:t>
      </w:r>
      <w:r w:rsidR="00B57CA4">
        <w:rPr>
          <w:rFonts w:ascii="Times New Roman" w:hAnsi="Times New Roman" w:cs="Times New Roman"/>
          <w:sz w:val="24"/>
        </w:rPr>
        <w:t xml:space="preserve">  Professors of Practice do not chair dissertation committees.  They may co-chair with another member of the program.</w:t>
      </w:r>
    </w:p>
    <w:p w:rsidR="000A05E1" w:rsidRPr="00311C94" w:rsidRDefault="000A05E1" w:rsidP="000A05E1">
      <w:pPr>
        <w:shd w:val="clear" w:color="auto" w:fill="FFFFFF"/>
        <w:rPr>
          <w:rFonts w:ascii="Times New Roman" w:hAnsi="Times New Roman" w:cs="Times New Roman"/>
          <w:sz w:val="24"/>
          <w:szCs w:val="24"/>
        </w:rPr>
      </w:pPr>
      <w:r w:rsidRPr="00311C94">
        <w:rPr>
          <w:rFonts w:ascii="Times New Roman" w:hAnsi="Times New Roman" w:cs="Times New Roman"/>
          <w:sz w:val="24"/>
          <w:szCs w:val="24"/>
        </w:rPr>
        <w:t>Professors of Practice must be reviewed every six years after a successful fifth year review following the format described above.</w:t>
      </w:r>
    </w:p>
    <w:p w:rsidR="00DF6D99" w:rsidRPr="000A05E1" w:rsidRDefault="000A05E1" w:rsidP="000A05E1">
      <w:pPr>
        <w:pStyle w:val="NormalWeb"/>
        <w:shd w:val="clear" w:color="auto" w:fill="FFFFFF"/>
        <w:spacing w:after="0"/>
        <w:rPr>
          <w:color w:val="333333"/>
        </w:rPr>
      </w:pPr>
      <w:r w:rsidRPr="00311C94">
        <w:rPr>
          <w:color w:val="333333"/>
        </w:rPr>
        <w:t>Notification of individual faculty members receiving a terminal appointment will follow the time schedule specified in the University's promotion and tenure policy (</w:t>
      </w:r>
      <w:hyperlink r:id="rId6" w:history="1">
        <w:r w:rsidRPr="00311C94">
          <w:rPr>
            <w:rStyle w:val="Hyperlink"/>
            <w:rFonts w:eastAsiaTheme="majorEastAsia"/>
            <w:color w:val="CC0000"/>
          </w:rPr>
          <w:t>OP 32.01</w:t>
        </w:r>
      </w:hyperlink>
      <w:r w:rsidRPr="00311C94">
        <w:rPr>
          <w:color w:val="333333"/>
        </w:rPr>
        <w:t>).</w:t>
      </w:r>
    </w:p>
    <w:sectPr w:rsidR="00DF6D99" w:rsidRPr="000A0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532B"/>
    <w:multiLevelType w:val="hybridMultilevel"/>
    <w:tmpl w:val="ADDAF7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664F5"/>
    <w:multiLevelType w:val="hybridMultilevel"/>
    <w:tmpl w:val="11D0B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C5112"/>
    <w:multiLevelType w:val="hybridMultilevel"/>
    <w:tmpl w:val="B0183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E1"/>
    <w:rsid w:val="000A05E1"/>
    <w:rsid w:val="000C7381"/>
    <w:rsid w:val="000F6F48"/>
    <w:rsid w:val="00173B1B"/>
    <w:rsid w:val="004F12C9"/>
    <w:rsid w:val="006E0F5C"/>
    <w:rsid w:val="00965F31"/>
    <w:rsid w:val="00B57CA4"/>
    <w:rsid w:val="00DF6D99"/>
    <w:rsid w:val="00EE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73999-B3E3-4E8D-B6EB-538ED27C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5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5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05E1"/>
    <w:rPr>
      <w:color w:val="0000FF"/>
      <w:u w:val="single"/>
    </w:rPr>
  </w:style>
  <w:style w:type="paragraph" w:styleId="ListParagraph">
    <w:name w:val="List Paragraph"/>
    <w:basedOn w:val="Normal"/>
    <w:uiPriority w:val="34"/>
    <w:qFormat/>
    <w:rsid w:val="000A05E1"/>
    <w:pPr>
      <w:ind w:left="720"/>
      <w:contextualSpacing/>
    </w:pPr>
  </w:style>
  <w:style w:type="table" w:styleId="TableGrid">
    <w:name w:val="Table Grid"/>
    <w:basedOn w:val="TableNormal"/>
    <w:uiPriority w:val="59"/>
    <w:rsid w:val="000A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7C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ts.ttu.edu/opmanual/OP32.01.pdf" TargetMode="External"/><Relationship Id="rId5" Type="http://schemas.openxmlformats.org/officeDocument/2006/relationships/hyperlink" Target="http://www.depts.ttu.edu/opmanual/OP32.17.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 Robin</dc:creator>
  <cp:keywords/>
  <dc:description/>
  <cp:lastModifiedBy>Lock, Robin</cp:lastModifiedBy>
  <cp:revision>3</cp:revision>
  <dcterms:created xsi:type="dcterms:W3CDTF">2019-02-01T16:45:00Z</dcterms:created>
  <dcterms:modified xsi:type="dcterms:W3CDTF">2019-02-01T16:47:00Z</dcterms:modified>
</cp:coreProperties>
</file>