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C60" w:rsidRPr="00795C60" w:rsidRDefault="00795C60" w:rsidP="00D65A21">
      <w:pPr>
        <w:spacing w:before="240" w:line="480" w:lineRule="auto"/>
        <w:rPr>
          <w:b/>
        </w:rPr>
      </w:pPr>
      <w:r w:rsidRPr="00795C60">
        <w:rPr>
          <w:b/>
        </w:rPr>
        <w:t>Performance</w:t>
      </w:r>
      <w:r w:rsidR="003B7B24">
        <w:rPr>
          <w:b/>
        </w:rPr>
        <w:t xml:space="preserve"> Reference C</w:t>
      </w:r>
      <w:r w:rsidRPr="00795C60">
        <w:rPr>
          <w:b/>
        </w:rPr>
        <w:t>ompounds</w:t>
      </w:r>
      <w:r w:rsidR="003B7B24">
        <w:rPr>
          <w:b/>
        </w:rPr>
        <w:t xml:space="preserve"> Calculator for PDMS in Passive S</w:t>
      </w:r>
      <w:r w:rsidRPr="00795C60">
        <w:rPr>
          <w:b/>
        </w:rPr>
        <w:t>ampling</w:t>
      </w:r>
      <w:r w:rsidR="003B7B24">
        <w:rPr>
          <w:b/>
        </w:rPr>
        <w:t xml:space="preserve"> – User Guide</w:t>
      </w:r>
    </w:p>
    <w:p w:rsidR="002E38C8" w:rsidRPr="00D65A21" w:rsidRDefault="002E38C8" w:rsidP="00D65A21">
      <w:pPr>
        <w:spacing w:before="240" w:line="480" w:lineRule="auto"/>
        <w:rPr>
          <w:b/>
        </w:rPr>
      </w:pPr>
      <w:r w:rsidRPr="00D65A21">
        <w:rPr>
          <w:b/>
        </w:rPr>
        <w:t>Introduction</w:t>
      </w:r>
    </w:p>
    <w:p w:rsidR="007869DC" w:rsidRDefault="002E38C8" w:rsidP="00D65A21">
      <w:pPr>
        <w:spacing w:before="240" w:line="480" w:lineRule="auto"/>
      </w:pPr>
      <w:r w:rsidRPr="00D65A21">
        <w:t>This</w:t>
      </w:r>
      <w:r w:rsidR="00A9045C" w:rsidRPr="00A9045C">
        <w:t xml:space="preserve"> </w:t>
      </w:r>
      <w:r w:rsidR="00A9045C" w:rsidRPr="00D65A21">
        <w:t>performance reference compounds (PRCs)</w:t>
      </w:r>
      <w:r w:rsidRPr="00D65A21">
        <w:t xml:space="preserve"> </w:t>
      </w:r>
      <w:r w:rsidR="00A9045C">
        <w:t>correction calculator</w:t>
      </w:r>
      <w:r w:rsidRPr="00D65A21">
        <w:t xml:space="preserve"> is designed to calculate </w:t>
      </w:r>
      <w:r w:rsidR="00A9045C">
        <w:t>the fraction steady state</w:t>
      </w:r>
      <w:r w:rsidR="008D6039">
        <w:t xml:space="preserve"> (</w:t>
      </w:r>
      <w:proofErr w:type="spellStart"/>
      <w:r w:rsidR="008D6039">
        <w:t>f</w:t>
      </w:r>
      <w:r w:rsidR="008D6039" w:rsidRPr="008D6039">
        <w:rPr>
          <w:vertAlign w:val="subscript"/>
        </w:rPr>
        <w:t>ss</w:t>
      </w:r>
      <w:proofErr w:type="spellEnd"/>
      <w:r w:rsidR="008D6039">
        <w:t>)</w:t>
      </w:r>
      <w:r w:rsidR="00A9045C">
        <w:t xml:space="preserve"> of PRCs </w:t>
      </w:r>
      <w:r w:rsidRPr="00D65A21">
        <w:t>the in passive sampling</w:t>
      </w:r>
      <w:r w:rsidR="00A9045C" w:rsidRPr="00A9045C">
        <w:t xml:space="preserve"> </w:t>
      </w:r>
      <w:r w:rsidR="00A9045C">
        <w:t xml:space="preserve">using </w:t>
      </w:r>
      <w:r w:rsidR="00A9045C" w:rsidRPr="00A9045C">
        <w:t>Polydimethylsiloxane</w:t>
      </w:r>
      <w:r w:rsidR="00A9045C" w:rsidRPr="00D65A21">
        <w:t xml:space="preserve"> </w:t>
      </w:r>
      <w:r w:rsidR="00A9045C">
        <w:t>(</w:t>
      </w:r>
      <w:r w:rsidR="00A9045C" w:rsidRPr="00D65A21">
        <w:t>PDMS</w:t>
      </w:r>
      <w:r w:rsidR="00A9045C">
        <w:t>)</w:t>
      </w:r>
      <w:r w:rsidRPr="00D65A21">
        <w:t>.</w:t>
      </w:r>
      <w:r w:rsidR="008D6039">
        <w:t xml:space="preserve"> The </w:t>
      </w:r>
      <w:r w:rsidR="007869DC">
        <w:t xml:space="preserve">loss of </w:t>
      </w:r>
      <w:r w:rsidR="00080DF7">
        <w:t xml:space="preserve">PRCs reflect the degree </w:t>
      </w:r>
      <w:r w:rsidR="007869DC">
        <w:t xml:space="preserve">of </w:t>
      </w:r>
      <w:r w:rsidR="00080DF7">
        <w:t>approach to e</w:t>
      </w:r>
      <w:r w:rsidR="007869DC">
        <w:t>quilibrium of target compounds assuming linear, reversible sorption in the sediment surrounding the passive sampler.  At equilibrium the PRCs, which are generally chosen as compounds that are not present in the sediment matrix and preloaded on the passive sampler, will decline toward 0 and the quantity 1-C/C</w:t>
      </w:r>
      <w:r w:rsidR="007869DC">
        <w:rPr>
          <w:vertAlign w:val="subscript"/>
        </w:rPr>
        <w:t>0</w:t>
      </w:r>
      <w:r w:rsidR="007869DC">
        <w:t xml:space="preserve"> represents the fraction of equilibrium obtained, </w:t>
      </w:r>
      <w:proofErr w:type="spellStart"/>
      <w:proofErr w:type="gramStart"/>
      <w:r w:rsidR="007869DC">
        <w:t>f</w:t>
      </w:r>
      <w:r w:rsidR="007869DC">
        <w:rPr>
          <w:vertAlign w:val="subscript"/>
        </w:rPr>
        <w:t>ss</w:t>
      </w:r>
      <w:proofErr w:type="spellEnd"/>
      <w:r w:rsidR="007869DC">
        <w:t xml:space="preserve"> .</w:t>
      </w:r>
      <w:proofErr w:type="gramEnd"/>
      <w:r w:rsidR="007869DC">
        <w:t xml:space="preserve">  The same extent of equilibration describes the uptake of the contaminant from the sediment and the concentration on the passive sampler that would be observed at equilibrium is </w:t>
      </w:r>
      <w:proofErr w:type="gramStart"/>
      <w:r w:rsidR="007869DC">
        <w:t>C(</w:t>
      </w:r>
      <w:proofErr w:type="gramEnd"/>
      <w:r w:rsidR="007869DC">
        <w:t>measured)/</w:t>
      </w:r>
      <w:proofErr w:type="spellStart"/>
      <w:r w:rsidR="007869DC">
        <w:t>f</w:t>
      </w:r>
      <w:r w:rsidR="007869DC">
        <w:rPr>
          <w:vertAlign w:val="subscript"/>
        </w:rPr>
        <w:t>ss</w:t>
      </w:r>
      <w:proofErr w:type="spellEnd"/>
      <w:r w:rsidR="007869DC">
        <w:t>.</w:t>
      </w:r>
    </w:p>
    <w:p w:rsidR="00227DE6" w:rsidRPr="007869DC" w:rsidRDefault="00227DE6" w:rsidP="00D65A21">
      <w:pPr>
        <w:spacing w:before="240" w:line="480" w:lineRule="auto"/>
      </w:pPr>
      <w:r>
        <w:t xml:space="preserve">The assumption of equal extent of equilibration between target compounds and PRCs assumes linear reversible sorption of </w:t>
      </w:r>
      <w:r w:rsidR="003B535E">
        <w:t xml:space="preserve">both PRC and target </w:t>
      </w:r>
      <w:r>
        <w:t>compounds.  If the sorption of the target and PRC compo</w:t>
      </w:r>
      <w:r w:rsidR="003B535E">
        <w:t>unds is nonlinear, i.e. a function of concentration,</w:t>
      </w:r>
      <w:r>
        <w:t xml:space="preserve"> this assumption is not strictly valid. </w:t>
      </w:r>
      <w:r w:rsidR="003B535E">
        <w:t xml:space="preserve">Common situations where this might occur is if the media contains black carbon or activated carbon.    In general desorption of </w:t>
      </w:r>
      <w:r>
        <w:t xml:space="preserve">PRCs such as a </w:t>
      </w:r>
      <w:proofErr w:type="spellStart"/>
      <w:r>
        <w:t>deuterated</w:t>
      </w:r>
      <w:proofErr w:type="spellEnd"/>
      <w:r>
        <w:t xml:space="preserve"> PAH would not be at the same rate of sorption of the parent PAH</w:t>
      </w:r>
      <w:r w:rsidR="003B535E">
        <w:t xml:space="preserve"> in such a situation</w:t>
      </w:r>
      <w:r>
        <w:t xml:space="preserve">.   It is often assumed, however, that a </w:t>
      </w:r>
      <w:proofErr w:type="spellStart"/>
      <w:r>
        <w:t>deuterated</w:t>
      </w:r>
      <w:proofErr w:type="spellEnd"/>
      <w:r>
        <w:t xml:space="preserve"> or C-13 labeled PRCs still provide a reasonable approximation to</w:t>
      </w:r>
      <w:r w:rsidR="003B535E">
        <w:t xml:space="preserve"> uptake of the parent compound, particularly if the concentration ranges of the compounds are similar.</w:t>
      </w:r>
    </w:p>
    <w:p w:rsidR="00080DF7" w:rsidRDefault="003B535E" w:rsidP="00D65A21">
      <w:pPr>
        <w:spacing w:before="240" w:line="480" w:lineRule="auto"/>
      </w:pPr>
      <w:r>
        <w:t xml:space="preserve">Assuming the rates of PRC release and target compound uptake are the sample, </w:t>
      </w:r>
      <w:r w:rsidR="007869DC">
        <w:t>the fractional approach to steady state and concentration for the PRC and the target compound can be written.</w:t>
      </w:r>
    </w:p>
    <w:p w:rsidR="000954E3" w:rsidRDefault="000954E3" w:rsidP="00D65A21">
      <w:pPr>
        <w:spacing w:before="240" w:line="480" w:lineRule="auto"/>
      </w:pPr>
      <m:oMathPara>
        <m:oMath>
          <m:r>
            <m:rPr>
              <m:sty m:val="p"/>
            </m:rPr>
            <w:rPr>
              <w:rFonts w:ascii="Cambria Math" w:hAnsi="Cambria Math"/>
            </w:rPr>
            <m:t>fss,prc=</m:t>
          </m:r>
          <m:f>
            <m:fPr>
              <m:ctrlPr>
                <w:rPr>
                  <w:rFonts w:ascii="Cambria Math" w:hAnsi="Cambria Math"/>
                </w:rPr>
              </m:ctrlPr>
            </m:fPr>
            <m:num>
              <m:r>
                <w:rPr>
                  <w:rFonts w:ascii="Cambria Math" w:hAnsi="Cambria Math"/>
                </w:rPr>
                <m:t>Cdeployment-Cretrieval</m:t>
              </m:r>
            </m:num>
            <m:den>
              <m:r>
                <w:rPr>
                  <w:rFonts w:ascii="Cambria Math" w:hAnsi="Cambria Math"/>
                </w:rPr>
                <m:t>Cdeployment</m:t>
              </m:r>
            </m:den>
          </m:f>
        </m:oMath>
      </m:oMathPara>
    </w:p>
    <w:p w:rsidR="000954E3" w:rsidRDefault="007869DC" w:rsidP="00D65A21">
      <w:pPr>
        <w:spacing w:before="240" w:line="480" w:lineRule="auto"/>
      </w:pPr>
      <m:oMathPara>
        <m:oMath>
          <m:r>
            <m:rPr>
              <m:sty m:val="p"/>
            </m:rPr>
            <w:rPr>
              <w:rFonts w:ascii="Cambria Math" w:hAnsi="Cambria Math"/>
            </w:rPr>
            <w:lastRenderedPageBreak/>
            <m:t>Cpw, target=</m:t>
          </m:r>
          <m:f>
            <m:fPr>
              <m:ctrlPr>
                <w:rPr>
                  <w:rFonts w:ascii="Cambria Math" w:hAnsi="Cambria Math"/>
                </w:rPr>
              </m:ctrlPr>
            </m:fPr>
            <m:num>
              <m:r>
                <w:rPr>
                  <w:rFonts w:ascii="Cambria Math" w:hAnsi="Cambria Math"/>
                </w:rPr>
                <m:t>Cpw, measured</m:t>
              </m:r>
            </m:num>
            <m:den>
              <m:r>
                <w:rPr>
                  <w:rFonts w:ascii="Cambria Math" w:hAnsi="Cambria Math"/>
                </w:rPr>
                <m:t>fss</m:t>
              </m:r>
            </m:den>
          </m:f>
        </m:oMath>
      </m:oMathPara>
    </w:p>
    <w:p w:rsidR="003B535E" w:rsidRPr="00A60353" w:rsidRDefault="003B535E" w:rsidP="00D65A21">
      <w:pPr>
        <w:spacing w:before="240" w:line="480" w:lineRule="auto"/>
      </w:pPr>
      <w:r>
        <w:t xml:space="preserve">It is often necessary to extrapolate from a small number of </w:t>
      </w:r>
      <w:r w:rsidR="001D05A4">
        <w:t xml:space="preserve">PRC compounds to a large number of target contaminants.  In such cases, it is normally assumed that the rate of PRC release or target compound is a function of the hydrophobicity of the compound.  One option would be to correlate </w:t>
      </w:r>
      <w:proofErr w:type="spellStart"/>
      <w:r w:rsidR="001D05A4">
        <w:t>f</w:t>
      </w:r>
      <w:r w:rsidR="001D05A4">
        <w:rPr>
          <w:vertAlign w:val="subscript"/>
        </w:rPr>
        <w:t>ss</w:t>
      </w:r>
      <w:proofErr w:type="spellEnd"/>
      <w:r w:rsidR="001D05A4">
        <w:t xml:space="preserve"> with a measure of hydrophobicity such as the </w:t>
      </w:r>
      <w:proofErr w:type="spellStart"/>
      <w:r w:rsidR="001D05A4">
        <w:t>octanol</w:t>
      </w:r>
      <w:proofErr w:type="spellEnd"/>
      <w:r w:rsidR="001D05A4">
        <w:t xml:space="preserve">-water partition coefficient, </w:t>
      </w:r>
      <w:proofErr w:type="spellStart"/>
      <w:r w:rsidR="001D05A4">
        <w:t>K</w:t>
      </w:r>
      <w:r w:rsidR="001D05A4">
        <w:rPr>
          <w:vertAlign w:val="subscript"/>
        </w:rPr>
        <w:t>ow</w:t>
      </w:r>
      <w:proofErr w:type="spellEnd"/>
      <w:r w:rsidR="001D05A4">
        <w:t xml:space="preserve">.  This direct approach, however, is sensitive to experimental errors and may lead to </w:t>
      </w:r>
      <w:r w:rsidR="00A60353">
        <w:t xml:space="preserve">extrapolations outside of the range of PRCs to physically unrealistic values of </w:t>
      </w:r>
      <w:proofErr w:type="spellStart"/>
      <w:r w:rsidR="00A60353">
        <w:t>f</w:t>
      </w:r>
      <w:r w:rsidR="00A60353">
        <w:rPr>
          <w:vertAlign w:val="subscript"/>
        </w:rPr>
        <w:t>ss</w:t>
      </w:r>
      <w:proofErr w:type="spellEnd"/>
      <w:r w:rsidR="00A60353">
        <w:t>.</w:t>
      </w:r>
    </w:p>
    <w:p w:rsidR="001D05A4" w:rsidRDefault="001D05A4" w:rsidP="00D65A21">
      <w:pPr>
        <w:spacing w:before="240" w:line="480" w:lineRule="auto"/>
      </w:pPr>
      <w:r>
        <w:t xml:space="preserve">For PDMS passive samplers, </w:t>
      </w:r>
      <w:r w:rsidR="00A60353">
        <w:t xml:space="preserve">the fractional approach to steady state is almost always controlled by external mass transfer resistances </w:t>
      </w:r>
      <w:r w:rsidR="00A60353">
        <w:fldChar w:fldCharType="begin"/>
      </w:r>
      <w:r w:rsidR="00A60353">
        <w:instrText xml:space="preserve"> ADDIN EN.CITE &lt;EndNote&gt;&lt;Cite&gt;&lt;Author&gt;Lampert&lt;/Author&gt;&lt;Year&gt;2015&lt;/Year&gt;&lt;RecNum&gt;1775&lt;/RecNum&gt;&lt;DisplayText&gt;(Lampert, Thomas et al. 2015)&lt;/DisplayText&gt;&lt;record&gt;&lt;rec-number&gt;1775&lt;/rec-number&gt;&lt;foreign-keys&gt;&lt;key app="EN" db-id="d0259frf2r9pzrepev9x05z79davzs90wd2a" timestamp="1422244299"&gt;1775&lt;/key&gt;&lt;/foreign-keys&gt;&lt;ref-type name="Journal Article"&gt;17&lt;/ref-type&gt;&lt;contributors&gt;&lt;authors&gt;&lt;author&gt;Lampert, DJ&lt;/author&gt;&lt;author&gt;Thomas, C&lt;/author&gt;&lt;author&gt;Reible, DD&lt;/author&gt;&lt;/authors&gt;&lt;/contributors&gt;&lt;titles&gt;&lt;title&gt;Internal and external transport significance for predicting contaminant uptake rates in passive samplers&lt;/title&gt;&lt;secondary-title&gt;Chemosphere&lt;/secondary-title&gt;&lt;/titles&gt;&lt;periodical&gt;&lt;full-title&gt;Chemosphere&lt;/full-title&gt;&lt;/periodical&gt;&lt;pages&gt;910-916&lt;/pages&gt;&lt;volume&gt;119&lt;/volume&gt;&lt;dates&gt;&lt;year&gt;2015&lt;/year&gt;&lt;/dates&gt;&lt;isbn&gt;0045-6535&lt;/isbn&gt;&lt;urls&gt;&lt;/urls&gt;&lt;/record&gt;&lt;/Cite&gt;&lt;/EndNote&gt;</w:instrText>
      </w:r>
      <w:r w:rsidR="00A60353">
        <w:fldChar w:fldCharType="separate"/>
      </w:r>
      <w:r w:rsidR="00A60353">
        <w:rPr>
          <w:noProof/>
        </w:rPr>
        <w:t>(Lampert, Thomas et al. 2015)</w:t>
      </w:r>
      <w:r w:rsidR="00A60353">
        <w:fldChar w:fldCharType="end"/>
      </w:r>
      <w:r w:rsidR="00A60353">
        <w:t xml:space="preserve">.  A model </w:t>
      </w:r>
      <w:r w:rsidR="00354B7A">
        <w:t xml:space="preserve">of the fractional approach to steady state of a PRC </w:t>
      </w:r>
      <w:r w:rsidR="00A60353">
        <w:t xml:space="preserve">assuming one-dimensional release of PRCs (typically valid for all organic passive samplers because they are typically very thin) and external mass transfer resistances control can be written </w:t>
      </w:r>
    </w:p>
    <w:p w:rsidR="00A60353" w:rsidRDefault="00AD5399" w:rsidP="00354B7A">
      <w:pPr>
        <w:spacing w:before="240" w:line="480" w:lineRule="auto"/>
        <w:jc w:val="center"/>
      </w:pPr>
      <w:r w:rsidRPr="00831B9E">
        <w:rPr>
          <w:position w:val="-34"/>
        </w:rPr>
        <w:object w:dxaOrig="416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15pt;height:40.15pt" o:ole="">
            <v:imagedata r:id="rId5" o:title=""/>
          </v:shape>
          <o:OLEObject Type="Embed" ProgID="Equation.DSMT4" ShapeID="_x0000_i1025" DrawAspect="Content" ObjectID="_1526641878" r:id="rId6"/>
        </w:object>
      </w:r>
    </w:p>
    <w:p w:rsidR="00A60353" w:rsidRDefault="00354B7A" w:rsidP="00D65A21">
      <w:pPr>
        <w:spacing w:before="240" w:line="480" w:lineRule="auto"/>
      </w:pPr>
      <w:r>
        <w:t>Where L represents the volume to area ratio of the passive sampler, K</w:t>
      </w:r>
      <w:r>
        <w:rPr>
          <w:vertAlign w:val="subscript"/>
        </w:rPr>
        <w:t>PDMS-w</w:t>
      </w:r>
      <w:r>
        <w:t xml:space="preserve">, is the equilibrium partition coefficient between the passive sampler and water, </w:t>
      </w:r>
      <w:proofErr w:type="spellStart"/>
      <w:r>
        <w:t>t</w:t>
      </w:r>
      <w:proofErr w:type="spellEnd"/>
      <w:r>
        <w:t xml:space="preserve"> is time and RD is the product of a retardation factor (related to sorption) and effective diffusivity of the PRC external to the passive sampler.  Due to motion in the surrounding media and uncertainties in sorption, these values may not be known but can be correlated with the hydrophobicity of the PRCs (e.g., a relationship between RD and </w:t>
      </w:r>
      <w:proofErr w:type="spellStart"/>
      <w:r>
        <w:t>K</w:t>
      </w:r>
      <w:r>
        <w:rPr>
          <w:vertAlign w:val="subscript"/>
        </w:rPr>
        <w:t>ow</w:t>
      </w:r>
      <w:proofErr w:type="spellEnd"/>
      <w:r>
        <w:t xml:space="preserve">).   This model ensures that RD and </w:t>
      </w:r>
      <w:proofErr w:type="spellStart"/>
      <w:r>
        <w:t>f</w:t>
      </w:r>
      <w:r>
        <w:rPr>
          <w:vertAlign w:val="subscript"/>
        </w:rPr>
        <w:t>ss</w:t>
      </w:r>
      <w:proofErr w:type="spellEnd"/>
      <w:r>
        <w:t xml:space="preserve"> are positive definite and the relationship can be easily used to extrapolate to estimate </w:t>
      </w:r>
      <w:proofErr w:type="spellStart"/>
      <w:r>
        <w:t>f</w:t>
      </w:r>
      <w:r w:rsidR="00AD5399">
        <w:rPr>
          <w:vertAlign w:val="subscript"/>
        </w:rPr>
        <w:t>ss</w:t>
      </w:r>
      <w:proofErr w:type="spellEnd"/>
      <w:r>
        <w:t xml:space="preserve"> </w:t>
      </w:r>
      <w:r w:rsidR="00AD5399">
        <w:t>for target compounds as</w:t>
      </w:r>
    </w:p>
    <w:p w:rsidR="00AD5399" w:rsidRPr="00354B7A" w:rsidRDefault="00AD5399" w:rsidP="00AD5399">
      <w:pPr>
        <w:spacing w:before="240" w:line="480" w:lineRule="auto"/>
        <w:jc w:val="center"/>
      </w:pPr>
      <w:r w:rsidRPr="00831B9E">
        <w:rPr>
          <w:position w:val="-34"/>
        </w:rPr>
        <w:object w:dxaOrig="4599" w:dyaOrig="800">
          <v:shape id="_x0000_i1026" type="#_x0000_t75" style="width:229.9pt;height:40.15pt" o:ole="">
            <v:imagedata r:id="rId7" o:title=""/>
          </v:shape>
          <o:OLEObject Type="Embed" ProgID="Equation.DSMT4" ShapeID="_x0000_i1026" DrawAspect="Content" ObjectID="_1526641879" r:id="rId8"/>
        </w:object>
      </w:r>
    </w:p>
    <w:p w:rsidR="00080DF7" w:rsidRPr="00D65A21" w:rsidRDefault="00186EC6" w:rsidP="00D65A21">
      <w:pPr>
        <w:spacing w:before="240" w:line="480" w:lineRule="auto"/>
      </w:pPr>
      <w:r>
        <w:t xml:space="preserve">The excel spreadsheet is designed to help with the calculations necessary to determine </w:t>
      </w:r>
      <w:proofErr w:type="spellStart"/>
      <w:r>
        <w:t>f</w:t>
      </w:r>
      <w:r>
        <w:rPr>
          <w:vertAlign w:val="subscript"/>
        </w:rPr>
        <w:t>ss</w:t>
      </w:r>
      <w:proofErr w:type="spellEnd"/>
      <w:r>
        <w:t xml:space="preserve"> of target compounds.  It uses measured values of </w:t>
      </w:r>
      <w:proofErr w:type="spellStart"/>
      <w:r>
        <w:t>f</w:t>
      </w:r>
      <w:r>
        <w:rPr>
          <w:vertAlign w:val="subscript"/>
        </w:rPr>
        <w:t>ss</w:t>
      </w:r>
      <w:proofErr w:type="spellEnd"/>
      <w:r>
        <w:t xml:space="preserve"> for PRCs (C/C</w:t>
      </w:r>
      <w:r>
        <w:rPr>
          <w:vertAlign w:val="subscript"/>
        </w:rPr>
        <w:t>0</w:t>
      </w:r>
      <w:r>
        <w:t xml:space="preserve">) to develop a relationship for RD as a function of </w:t>
      </w:r>
      <w:proofErr w:type="spellStart"/>
      <w:r>
        <w:t>K</w:t>
      </w:r>
      <w:r>
        <w:rPr>
          <w:vertAlign w:val="subscript"/>
        </w:rPr>
        <w:t>ow</w:t>
      </w:r>
      <w:proofErr w:type="spellEnd"/>
      <w:r>
        <w:t xml:space="preserve"> and then calculates </w:t>
      </w:r>
      <w:proofErr w:type="spellStart"/>
      <w:r>
        <w:t>f</w:t>
      </w:r>
      <w:r>
        <w:rPr>
          <w:vertAlign w:val="subscript"/>
        </w:rPr>
        <w:t>ss</w:t>
      </w:r>
      <w:proofErr w:type="spellEnd"/>
      <w:r>
        <w:t xml:space="preserve"> for target PAHs or PCBs.   </w:t>
      </w:r>
    </w:p>
    <w:p w:rsidR="00142B6E" w:rsidRPr="00D65A21" w:rsidRDefault="002C223D" w:rsidP="00D65A21">
      <w:pPr>
        <w:spacing w:after="0" w:line="480" w:lineRule="auto"/>
        <w:rPr>
          <w:b/>
        </w:rPr>
      </w:pPr>
      <w:r>
        <w:rPr>
          <w:b/>
        </w:rPr>
        <w:t>Software Requirement</w:t>
      </w:r>
    </w:p>
    <w:p w:rsidR="00F452A5" w:rsidRDefault="00142B6E" w:rsidP="00F452A5">
      <w:pPr>
        <w:spacing w:after="0" w:line="480" w:lineRule="auto"/>
      </w:pPr>
      <w:r w:rsidRPr="00D65A21">
        <w:t>This file was developed in</w:t>
      </w:r>
      <w:r w:rsidR="00A9045C">
        <w:t xml:space="preserve"> Microsoft</w:t>
      </w:r>
      <w:r w:rsidR="00F452A5">
        <w:t xml:space="preserve"> Excel and macros must be enabled.  Changes to the spreadsheet must be done with care to avoid conflicts with the macros. </w:t>
      </w:r>
      <w:r w:rsidR="00186EC6">
        <w:t xml:space="preserve">   .  The remaining worksheets provide supporting information that should not be changed. </w:t>
      </w:r>
    </w:p>
    <w:p w:rsidR="002E38C8" w:rsidRDefault="001B34DC" w:rsidP="00D65A21">
      <w:pPr>
        <w:spacing w:after="0" w:line="480" w:lineRule="auto"/>
      </w:pPr>
      <w:r>
        <w:rPr>
          <w:noProof/>
        </w:rPr>
        <w:object w:dxaOrig="1440" w:dyaOrig="1440" w14:anchorId="7AFCBA95">
          <v:shape id="_x0000_s1026" type="#_x0000_t75" style="position:absolute;margin-left:51.35pt;margin-top:155.75pt;width:169.55pt;height:23.8pt;z-index:251658240;mso-wrap-style:tight;mso-position-horizontal-relative:text;mso-position-vertical-relative:text" filled="t" stroked="t">
            <v:imagedata r:id="rId9" o:title=""/>
          </v:shape>
          <o:OLEObject Type="Embed" ProgID="Word.Document.12" ShapeID="_x0000_s1026" DrawAspect="Content" ObjectID="_1526641880" r:id="rId10">
            <o:FieldCodes>\s</o:FieldCodes>
          </o:OLEObject>
        </w:object>
      </w:r>
      <w:r w:rsidR="00F60742">
        <w:t>The file contains five</w:t>
      </w:r>
      <w:r w:rsidR="002E38C8" w:rsidRPr="00D65A21">
        <w:t xml:space="preserve"> </w:t>
      </w:r>
      <w:r w:rsidR="00F452A5">
        <w:t>worksh</w:t>
      </w:r>
      <w:r w:rsidR="002E38C8" w:rsidRPr="00D65A21">
        <w:t>eet</w:t>
      </w:r>
      <w:r w:rsidR="002C223D">
        <w:t>s. T</w:t>
      </w:r>
      <w:r w:rsidR="002E38C8" w:rsidRPr="00D65A21">
        <w:t>he first two</w:t>
      </w:r>
      <w:r w:rsidR="00F452A5">
        <w:t xml:space="preserve"> worksheets</w:t>
      </w:r>
      <w:r w:rsidR="002E38C8" w:rsidRPr="00D65A21">
        <w:t xml:space="preserve"> are designed for PAHs and PCBs</w:t>
      </w:r>
      <w:r w:rsidR="002C223D">
        <w:t xml:space="preserve"> calculations</w:t>
      </w:r>
      <w:r w:rsidR="00F60742">
        <w:t xml:space="preserve"> separately.  </w:t>
      </w:r>
      <w:r w:rsidR="00F60742">
        <w:t>Changes can only be made to the</w:t>
      </w:r>
      <w:r w:rsidR="00F60742">
        <w:t xml:space="preserve">se worksheets.  </w:t>
      </w:r>
      <w:r w:rsidR="00F60742">
        <w:t xml:space="preserve"> Items that can be modified for particular conditions are highlighted in yellow on the spreadsheet.</w:t>
      </w:r>
      <w:r w:rsidR="00F60742">
        <w:t xml:space="preserve">  T</w:t>
      </w:r>
      <w:r w:rsidR="002E38C8" w:rsidRPr="00D65A21">
        <w:t>he last two</w:t>
      </w:r>
      <w:r w:rsidR="002C223D">
        <w:t xml:space="preserve"> sheets</w:t>
      </w:r>
      <w:r w:rsidR="002E38C8" w:rsidRPr="00D65A21">
        <w:t xml:space="preserve"> are lists of </w:t>
      </w:r>
      <w:proofErr w:type="spellStart"/>
      <w:r w:rsidR="00795C60">
        <w:t>L</w:t>
      </w:r>
      <w:r w:rsidR="002C223D" w:rsidRPr="00D65A21">
        <w:t>ogK</w:t>
      </w:r>
      <w:r w:rsidR="002C223D" w:rsidRPr="00795C60">
        <w:rPr>
          <w:vertAlign w:val="subscript"/>
        </w:rPr>
        <w:t>ow</w:t>
      </w:r>
      <w:proofErr w:type="spellEnd"/>
      <w:r w:rsidR="002C223D" w:rsidRPr="00D65A21">
        <w:t xml:space="preserve"> </w:t>
      </w:r>
      <w:bookmarkStart w:id="0" w:name="OLE_LINK1"/>
      <w:r w:rsidR="003B7B24">
        <w:t>(</w:t>
      </w:r>
      <w:proofErr w:type="spellStart"/>
      <w:r w:rsidR="003B7B24">
        <w:t>octanol</w:t>
      </w:r>
      <w:proofErr w:type="spellEnd"/>
      <w:r w:rsidR="003B7B24">
        <w:t xml:space="preserve">-water partition coefficient) </w:t>
      </w:r>
      <w:bookmarkEnd w:id="0"/>
      <w:r w:rsidR="002C223D">
        <w:t>for</w:t>
      </w:r>
      <w:r w:rsidR="008D6039">
        <w:t xml:space="preserve"> </w:t>
      </w:r>
      <w:r w:rsidR="008D6039" w:rsidRPr="008D6039">
        <w:t xml:space="preserve">polycyclic aromatic hydrocarbons (PAHs) </w:t>
      </w:r>
      <w:r w:rsidR="002C223D" w:rsidRPr="00D65A21">
        <w:t>(SPARC</w:t>
      </w:r>
      <w:r w:rsidR="002C223D">
        <w:t xml:space="preserve"> estimates)</w:t>
      </w:r>
      <w:r w:rsidR="002C223D" w:rsidRPr="00D65A21">
        <w:t xml:space="preserve"> </w:t>
      </w:r>
      <w:r w:rsidR="002E38C8" w:rsidRPr="00D65A21">
        <w:t xml:space="preserve">and </w:t>
      </w:r>
      <w:r w:rsidR="008D6039" w:rsidRPr="008D6039">
        <w:t>polychlorinated biphenyls (PCBs)</w:t>
      </w:r>
      <w:r w:rsidR="008D6039">
        <w:t xml:space="preserve"> </w:t>
      </w:r>
      <w:r w:rsidR="002C223D">
        <w:t>(</w:t>
      </w:r>
      <w:r w:rsidR="002E38C8" w:rsidRPr="00D65A21">
        <w:t>Hawker and Connell, 1988)</w:t>
      </w:r>
      <w:r w:rsidR="002C223D">
        <w:t xml:space="preserve">. </w:t>
      </w:r>
      <w:proofErr w:type="spellStart"/>
      <w:r w:rsidR="00795C60" w:rsidRPr="00D65A21">
        <w:t>LogK</w:t>
      </w:r>
      <w:r w:rsidR="00795C60" w:rsidRPr="00795C60">
        <w:rPr>
          <w:vertAlign w:val="subscript"/>
        </w:rPr>
        <w:t>f</w:t>
      </w:r>
      <w:proofErr w:type="spellEnd"/>
      <w:r w:rsidR="00795C60" w:rsidRPr="00D65A21">
        <w:t xml:space="preserve"> </w:t>
      </w:r>
      <w:r w:rsidR="003B7B24">
        <w:t>(</w:t>
      </w:r>
      <w:proofErr w:type="spellStart"/>
      <w:r w:rsidR="003B7B24">
        <w:t>octanol</w:t>
      </w:r>
      <w:proofErr w:type="spellEnd"/>
      <w:r w:rsidR="003B7B24">
        <w:t xml:space="preserve">-water partition coefficient) </w:t>
      </w:r>
      <w:r w:rsidR="00795C60">
        <w:t xml:space="preserve">used </w:t>
      </w:r>
      <w:r w:rsidR="00795C60" w:rsidRPr="00D65A21">
        <w:t>here are calculated based on their relationship</w:t>
      </w:r>
      <w:r w:rsidR="00795C60">
        <w:t>s</w:t>
      </w:r>
      <w:r w:rsidR="00795C60" w:rsidRPr="00D65A21">
        <w:t xml:space="preserve"> </w:t>
      </w:r>
      <w:r w:rsidR="00795C60">
        <w:t xml:space="preserve">with </w:t>
      </w:r>
      <w:proofErr w:type="spellStart"/>
      <w:r w:rsidR="00795C60">
        <w:t>L</w:t>
      </w:r>
      <w:r w:rsidR="00795C60" w:rsidRPr="00D65A21">
        <w:t>ogK</w:t>
      </w:r>
      <w:r w:rsidR="00795C60" w:rsidRPr="00795C60">
        <w:rPr>
          <w:vertAlign w:val="subscript"/>
        </w:rPr>
        <w:t>ow</w:t>
      </w:r>
      <w:proofErr w:type="spellEnd"/>
      <w:r w:rsidR="00795C60" w:rsidRPr="00D65A21">
        <w:t xml:space="preserve"> (Ghosh, et al 2014).</w:t>
      </w:r>
    </w:p>
    <w:p w:rsidR="00795C60" w:rsidRDefault="001B34DC" w:rsidP="00D65A21">
      <w:pPr>
        <w:spacing w:after="0" w:line="480" w:lineRule="auto"/>
      </w:pPr>
      <w:r>
        <w:rPr>
          <w:noProof/>
        </w:rPr>
        <w:object w:dxaOrig="1440" w:dyaOrig="1440" w14:anchorId="2ACDE741">
          <v:shape id="_x0000_s1027" type="#_x0000_t75" style="position:absolute;margin-left:52.5pt;margin-top:25.1pt;width:169.55pt;height:25.25pt;z-index:251659264;mso-wrap-style:tight" filled="t" stroked="t">
            <v:imagedata r:id="rId11" o:title=""/>
          </v:shape>
          <o:OLEObject Type="Embed" ProgID="Word.Document.12" ShapeID="_x0000_s1027" DrawAspect="Content" ObjectID="_1526641881" r:id="rId12">
            <o:FieldCodes>\s</o:FieldCodes>
          </o:OLEObject>
        </w:object>
      </w:r>
      <w:r w:rsidR="00795C60">
        <w:t xml:space="preserve">For PAHs, </w:t>
      </w:r>
    </w:p>
    <w:p w:rsidR="00DA6F5F" w:rsidRDefault="00795C60" w:rsidP="00D65A21">
      <w:pPr>
        <w:spacing w:after="0" w:line="480" w:lineRule="auto"/>
      </w:pPr>
      <w:r>
        <w:t xml:space="preserve">For PCBs, </w:t>
      </w:r>
    </w:p>
    <w:p w:rsidR="00DA6F5F" w:rsidRDefault="00DA6F5F" w:rsidP="00D65A21">
      <w:pPr>
        <w:spacing w:after="0" w:line="480" w:lineRule="auto"/>
      </w:pPr>
    </w:p>
    <w:p w:rsidR="00F60742" w:rsidRDefault="002E38C8" w:rsidP="00D65A21">
      <w:pPr>
        <w:spacing w:after="0" w:line="480" w:lineRule="auto"/>
      </w:pPr>
      <w:r w:rsidRPr="00D65A21">
        <w:t xml:space="preserve">In </w:t>
      </w:r>
      <w:r w:rsidR="002C223D">
        <w:t>each</w:t>
      </w:r>
      <w:r w:rsidRPr="00D65A21">
        <w:t xml:space="preserve"> calculation sp</w:t>
      </w:r>
      <w:r w:rsidR="00F452A5">
        <w:t>readsheet, there are four parts that require inputs or provide results</w:t>
      </w:r>
      <w:r w:rsidR="00F60742">
        <w:t xml:space="preserve">.  </w:t>
      </w:r>
    </w:p>
    <w:p w:rsidR="002E38C8" w:rsidRPr="00D65A21" w:rsidRDefault="00F60742" w:rsidP="00D65A21">
      <w:pPr>
        <w:spacing w:after="0" w:line="480" w:lineRule="auto"/>
      </w:pPr>
      <w:r>
        <w:rPr>
          <w:b/>
        </w:rPr>
        <w:t>Calculation Steps</w:t>
      </w:r>
      <w:r w:rsidR="00F452A5">
        <w:t xml:space="preserve"> </w:t>
      </w:r>
    </w:p>
    <w:p w:rsidR="002E38C8" w:rsidRPr="00D65A21" w:rsidRDefault="006F57F7" w:rsidP="00D65A21">
      <w:pPr>
        <w:pStyle w:val="ListParagraph"/>
        <w:numPr>
          <w:ilvl w:val="0"/>
          <w:numId w:val="1"/>
        </w:numPr>
        <w:spacing w:after="0" w:line="480" w:lineRule="auto"/>
      </w:pPr>
      <w:r w:rsidRPr="00D65A21">
        <w:t>Select</w:t>
      </w:r>
      <w:r w:rsidR="002C223D">
        <w:t xml:space="preserve"> PRCs</w:t>
      </w:r>
    </w:p>
    <w:p w:rsidR="00292D63" w:rsidRPr="00D65A21" w:rsidRDefault="00F452A5" w:rsidP="00D65A21">
      <w:pPr>
        <w:spacing w:line="480" w:lineRule="auto"/>
      </w:pPr>
      <w:r>
        <w:t>The PRCs employed must be entered in this section</w:t>
      </w:r>
      <w:r w:rsidR="002E38C8" w:rsidRPr="00D65A21">
        <w:t xml:space="preserve">. </w:t>
      </w:r>
      <w:r>
        <w:t>Information for 11</w:t>
      </w:r>
      <w:r w:rsidR="00292D63" w:rsidRPr="00D65A21">
        <w:t xml:space="preserve"> commonly used PRCs, including 4</w:t>
      </w:r>
      <w:r w:rsidR="002E38C8" w:rsidRPr="00D65A21">
        <w:t xml:space="preserve"> </w:t>
      </w:r>
      <w:proofErr w:type="spellStart"/>
      <w:r w:rsidR="002E38C8" w:rsidRPr="00D65A21">
        <w:t>dPAH</w:t>
      </w:r>
      <w:proofErr w:type="spellEnd"/>
      <w:r w:rsidR="002E38C8" w:rsidRPr="00D65A21">
        <w:t xml:space="preserve"> (</w:t>
      </w:r>
      <w:r w:rsidR="002E38C8" w:rsidRPr="00795C60">
        <w:t>d10-fluoranthene, d12-chrysene, d12-benzo[b]</w:t>
      </w:r>
      <w:proofErr w:type="spellStart"/>
      <w:r w:rsidR="002E38C8" w:rsidRPr="00795C60">
        <w:t>fluoranthene</w:t>
      </w:r>
      <w:proofErr w:type="spellEnd"/>
      <w:r w:rsidR="002E38C8" w:rsidRPr="00795C60">
        <w:t>, d14-dibenz[a]anthracene</w:t>
      </w:r>
      <w:r w:rsidR="002E38C8" w:rsidRPr="00D65A21">
        <w:t xml:space="preserve">) and </w:t>
      </w:r>
      <w:r w:rsidR="00292D63" w:rsidRPr="00D65A21">
        <w:t>7</w:t>
      </w:r>
      <w:r w:rsidR="002E38C8" w:rsidRPr="00D65A21">
        <w:t xml:space="preserve"> </w:t>
      </w:r>
      <w:r w:rsidR="002E38C8" w:rsidRPr="00D65A21">
        <w:lastRenderedPageBreak/>
        <w:t>C</w:t>
      </w:r>
      <w:r w:rsidR="002E38C8" w:rsidRPr="00795C60">
        <w:rPr>
          <w:vertAlign w:val="superscript"/>
        </w:rPr>
        <w:t>13</w:t>
      </w:r>
      <w:r w:rsidR="002E38C8" w:rsidRPr="00D65A21">
        <w:t xml:space="preserve"> labeled PCBs (PCB 28*, PCB 52*, PCB 101*, PCB 153*, PCB 180*)</w:t>
      </w:r>
      <w:r w:rsidR="00292D63" w:rsidRPr="00D65A21">
        <w:t>,</w:t>
      </w:r>
      <w:r w:rsidR="002E38C8" w:rsidRPr="00D65A21">
        <w:t xml:space="preserve"> are </w:t>
      </w:r>
      <w:r>
        <w:t>provided and can be selected from a drop down list by clicking on one of the compound cells</w:t>
      </w:r>
      <w:r w:rsidR="002E38C8" w:rsidRPr="00D65A21">
        <w:t xml:space="preserve">. </w:t>
      </w:r>
      <w:r w:rsidR="003B7B24">
        <w:t>After</w:t>
      </w:r>
      <w:r w:rsidR="002E38C8" w:rsidRPr="00D65A21">
        <w:t xml:space="preserve"> you </w:t>
      </w:r>
      <w:r w:rsidR="003B7B24">
        <w:t xml:space="preserve">have </w:t>
      </w:r>
      <w:r w:rsidR="006F57F7" w:rsidRPr="00D65A21">
        <w:t>select</w:t>
      </w:r>
      <w:r w:rsidR="003B7B24">
        <w:t>ed</w:t>
      </w:r>
      <w:r w:rsidR="002E38C8" w:rsidRPr="00D65A21">
        <w:t xml:space="preserve"> </w:t>
      </w:r>
      <w:r w:rsidR="003B7B24">
        <w:t>the PRCs</w:t>
      </w:r>
      <w:r w:rsidR="002E38C8" w:rsidRPr="00D65A21">
        <w:t xml:space="preserve"> from the </w:t>
      </w:r>
      <w:r w:rsidR="006F57F7" w:rsidRPr="00D65A21">
        <w:t>list</w:t>
      </w:r>
      <w:r w:rsidR="002E38C8" w:rsidRPr="00D65A21">
        <w:t xml:space="preserve">, the </w:t>
      </w:r>
      <w:proofErr w:type="spellStart"/>
      <w:r w:rsidR="002E38C8" w:rsidRPr="00D65A21">
        <w:t>logK</w:t>
      </w:r>
      <w:r w:rsidR="002E38C8" w:rsidRPr="00795C60">
        <w:rPr>
          <w:vertAlign w:val="subscript"/>
        </w:rPr>
        <w:t>ow</w:t>
      </w:r>
      <w:proofErr w:type="spellEnd"/>
      <w:r w:rsidR="002E38C8" w:rsidRPr="00D65A21">
        <w:t xml:space="preserve"> and </w:t>
      </w:r>
      <w:proofErr w:type="spellStart"/>
      <w:r w:rsidR="002E38C8" w:rsidRPr="00D65A21">
        <w:t>logK</w:t>
      </w:r>
      <w:r w:rsidR="002E38C8" w:rsidRPr="00795C60">
        <w:rPr>
          <w:vertAlign w:val="subscript"/>
        </w:rPr>
        <w:t>f</w:t>
      </w:r>
      <w:proofErr w:type="spellEnd"/>
      <w:r w:rsidR="002E38C8" w:rsidRPr="00D65A21">
        <w:t xml:space="preserve"> </w:t>
      </w:r>
      <w:r w:rsidR="00795C60">
        <w:t xml:space="preserve">values </w:t>
      </w:r>
      <w:r w:rsidR="003B7B24">
        <w:t>will</w:t>
      </w:r>
      <w:r w:rsidR="002E38C8" w:rsidRPr="00D65A21">
        <w:t xml:space="preserve"> be filled out automatically.</w:t>
      </w:r>
      <w:r w:rsidR="00F60742">
        <w:t xml:space="preserve"> If you hav</w:t>
      </w:r>
      <w:r w:rsidR="00292D63" w:rsidRPr="00D65A21">
        <w:t>e PRCs other than these 11 compounds, please input their name</w:t>
      </w:r>
      <w:r w:rsidR="003B7B24">
        <w:t>s</w:t>
      </w:r>
      <w:r w:rsidR="00292D63" w:rsidRPr="00D65A21">
        <w:t xml:space="preserve"> and </w:t>
      </w:r>
      <w:proofErr w:type="spellStart"/>
      <w:r w:rsidR="00292D63" w:rsidRPr="00D65A21">
        <w:t>logK</w:t>
      </w:r>
      <w:r w:rsidR="00292D63" w:rsidRPr="00795C60">
        <w:rPr>
          <w:vertAlign w:val="subscript"/>
        </w:rPr>
        <w:t>ow</w:t>
      </w:r>
      <w:proofErr w:type="spellEnd"/>
      <w:r w:rsidR="00292D63" w:rsidRPr="00D65A21">
        <w:t xml:space="preserve"> </w:t>
      </w:r>
      <w:r w:rsidR="003B7B24">
        <w:t xml:space="preserve">values </w:t>
      </w:r>
      <w:r>
        <w:t>manually.</w:t>
      </w:r>
    </w:p>
    <w:p w:rsidR="00142B6E" w:rsidRPr="00D65A21" w:rsidRDefault="008F4BC9" w:rsidP="00D65A21">
      <w:pPr>
        <w:pStyle w:val="ListParagraph"/>
        <w:numPr>
          <w:ilvl w:val="0"/>
          <w:numId w:val="1"/>
        </w:numPr>
        <w:spacing w:line="480" w:lineRule="auto"/>
      </w:pPr>
      <w:r>
        <w:t>Input parameters</w:t>
      </w:r>
    </w:p>
    <w:p w:rsidR="00292D63" w:rsidRDefault="00F452A5" w:rsidP="00D65A21">
      <w:pPr>
        <w:spacing w:line="480" w:lineRule="auto"/>
      </w:pPr>
      <w:r>
        <w:t xml:space="preserve">The dimensions of the PDMS fibers that are being used need to </w:t>
      </w:r>
      <w:proofErr w:type="gramStart"/>
      <w:r>
        <w:t>entered</w:t>
      </w:r>
      <w:proofErr w:type="gramEnd"/>
      <w:r>
        <w:t xml:space="preserve"> in this section as well as analytical details of the extraction procedure.  It is assumed that the PDMS is a cylindrical annulus with an outside and inside dimension that is supplied along with </w:t>
      </w:r>
      <w:r w:rsidR="00B3290C">
        <w:t xml:space="preserve">the time period of the passive sampler deployment.  In the section below, the length of PDMS fiber (with the dimensions just entered) and the volume of solvent used to extract the target contaminants and PRCs from the fiber should be entered. </w:t>
      </w:r>
      <w:r>
        <w:t xml:space="preserve">  </w:t>
      </w:r>
      <w:r w:rsidR="00B3290C">
        <w:t>This information is</w:t>
      </w:r>
      <w:r w:rsidR="00292D63" w:rsidRPr="00D65A21">
        <w:t xml:space="preserve"> used to </w:t>
      </w:r>
      <w:r w:rsidR="00D65A21" w:rsidRPr="00D65A21">
        <w:t>calculate</w:t>
      </w:r>
      <w:r w:rsidR="00292D63" w:rsidRPr="00D65A21">
        <w:t xml:space="preserve"> the </w:t>
      </w:r>
      <w:r w:rsidR="00142B6E" w:rsidRPr="00D65A21">
        <w:t>pore-water concentration</w:t>
      </w:r>
      <w:r w:rsidR="0069118C">
        <w:t xml:space="preserve"> (</w:t>
      </w:r>
      <w:proofErr w:type="spellStart"/>
      <w:r w:rsidR="0069118C">
        <w:t>C</w:t>
      </w:r>
      <w:r w:rsidR="0069118C" w:rsidRPr="0069118C">
        <w:rPr>
          <w:vertAlign w:val="subscript"/>
        </w:rPr>
        <w:t>pw</w:t>
      </w:r>
      <w:proofErr w:type="spellEnd"/>
      <w:r w:rsidR="0069118C">
        <w:t>)</w:t>
      </w:r>
      <w:r w:rsidR="00142B6E" w:rsidRPr="00D65A21">
        <w:t xml:space="preserve"> of PRCs </w:t>
      </w:r>
      <w:r w:rsidR="00B3290C">
        <w:t>and target compounds from the measured extract concentrations.</w:t>
      </w:r>
      <w:r w:rsidR="00695A63">
        <w:t xml:space="preserve"> The measured extract concentrations in fibers at time of </w:t>
      </w:r>
      <w:proofErr w:type="spellStart"/>
      <w:r w:rsidR="00695A63">
        <w:t>incoculation</w:t>
      </w:r>
      <w:proofErr w:type="spellEnd"/>
      <w:r w:rsidR="00695A63">
        <w:t xml:space="preserve"> of the PRCs (C</w:t>
      </w:r>
      <w:r w:rsidR="00695A63">
        <w:rPr>
          <w:vertAlign w:val="subscript"/>
        </w:rPr>
        <w:t>0</w:t>
      </w:r>
      <w:r w:rsidR="00695A63">
        <w:t xml:space="preserve">) should be entered in row 32 while the final post-deployment PRC measurements should be placed row 39.  </w:t>
      </w:r>
      <w:r w:rsidR="007912E1" w:rsidRPr="007912E1">
        <w:t xml:space="preserve">When entering values, make sure you </w:t>
      </w:r>
      <w:r w:rsidR="00B3290C">
        <w:t>employ the</w:t>
      </w:r>
      <w:r w:rsidR="007912E1" w:rsidRPr="007912E1">
        <w:t xml:space="preserve"> units requested.</w:t>
      </w:r>
      <w:r w:rsidR="007912E1">
        <w:t xml:space="preserve"> Please</w:t>
      </w:r>
      <w:r w:rsidR="00D65A21">
        <w:t xml:space="preserve"> not</w:t>
      </w:r>
      <w:r w:rsidR="00F60742">
        <w:t>e</w:t>
      </w:r>
      <w:r w:rsidR="00D65A21">
        <w:t xml:space="preserve"> that if you already have pore-water concentration</w:t>
      </w:r>
      <w:r w:rsidR="004C487F">
        <w:t>s</w:t>
      </w:r>
      <w:r w:rsidR="00D65A21">
        <w:t xml:space="preserve"> instead of extraction concentration</w:t>
      </w:r>
      <w:r w:rsidR="00745DAE">
        <w:t>s</w:t>
      </w:r>
      <w:r w:rsidR="00D65A21">
        <w:t xml:space="preserve">, you </w:t>
      </w:r>
      <w:r w:rsidR="00745DAE">
        <w:t>may</w:t>
      </w:r>
      <w:r w:rsidR="00D65A21">
        <w:t xml:space="preserve"> skip part 2 and directly input the </w:t>
      </w:r>
      <w:proofErr w:type="spellStart"/>
      <w:r w:rsidR="00D65A21">
        <w:t>C</w:t>
      </w:r>
      <w:r w:rsidR="00D65A21" w:rsidRPr="00832E74">
        <w:rPr>
          <w:vertAlign w:val="subscript"/>
        </w:rPr>
        <w:t>pw</w:t>
      </w:r>
      <w:proofErr w:type="spellEnd"/>
      <w:r w:rsidR="00D65A21">
        <w:t xml:space="preserve"> </w:t>
      </w:r>
      <w:r w:rsidR="00745DAE">
        <w:t xml:space="preserve">data </w:t>
      </w:r>
      <w:r w:rsidR="00D65A21">
        <w:t>in part</w:t>
      </w:r>
      <w:r w:rsidR="00745DAE">
        <w:t xml:space="preserve"> 3</w:t>
      </w:r>
      <w:r w:rsidR="00D65A21">
        <w:t>.</w:t>
      </w:r>
    </w:p>
    <w:p w:rsidR="00D65A21" w:rsidRDefault="00D65A21" w:rsidP="00D65A21">
      <w:pPr>
        <w:pStyle w:val="ListParagraph"/>
        <w:numPr>
          <w:ilvl w:val="0"/>
          <w:numId w:val="1"/>
        </w:numPr>
        <w:spacing w:line="480" w:lineRule="auto"/>
      </w:pPr>
      <w:r>
        <w:t>Calculations</w:t>
      </w:r>
    </w:p>
    <w:p w:rsidR="00D65A21" w:rsidRDefault="00A9045C" w:rsidP="00D65A21">
      <w:pPr>
        <w:spacing w:line="480" w:lineRule="auto"/>
      </w:pPr>
      <w:r>
        <w:t xml:space="preserve">Based on the parameters you input in part 2, part 3 will </w:t>
      </w:r>
      <w:r w:rsidR="00FD69D7">
        <w:t>provide</w:t>
      </w:r>
      <w:r w:rsidR="00F60742">
        <w:t xml:space="preserve"> you </w:t>
      </w:r>
      <w:r>
        <w:t>calculation results</w:t>
      </w:r>
      <w:r w:rsidR="00FD69D7">
        <w:t xml:space="preserve">, including </w:t>
      </w:r>
      <w:proofErr w:type="spellStart"/>
      <w:r w:rsidR="00FD69D7">
        <w:t>C</w:t>
      </w:r>
      <w:r w:rsidR="00FD69D7" w:rsidRPr="00FD69D7">
        <w:rPr>
          <w:vertAlign w:val="subscript"/>
        </w:rPr>
        <w:t>pw</w:t>
      </w:r>
      <w:proofErr w:type="spellEnd"/>
      <w:r w:rsidR="00FD69D7">
        <w:t xml:space="preserve">, </w:t>
      </w:r>
      <w:proofErr w:type="spellStart"/>
      <w:r w:rsidR="00FD69D7">
        <w:t>f</w:t>
      </w:r>
      <w:r w:rsidR="00FD69D7" w:rsidRPr="00FD69D7">
        <w:rPr>
          <w:vertAlign w:val="subscript"/>
        </w:rPr>
        <w:t>ss</w:t>
      </w:r>
      <w:proofErr w:type="spellEnd"/>
      <w:r w:rsidR="007912E1">
        <w:t xml:space="preserve">, RD and </w:t>
      </w:r>
      <w:proofErr w:type="spellStart"/>
      <w:r w:rsidR="007912E1">
        <w:t>lo</w:t>
      </w:r>
      <w:r w:rsidR="0039280D">
        <w:t>gRD</w:t>
      </w:r>
      <w:proofErr w:type="spellEnd"/>
      <w:r w:rsidR="0039280D">
        <w:t>.</w:t>
      </w:r>
      <w:r w:rsidR="00B3290C">
        <w:t xml:space="preserve">  RD is the product of the effective compound retardation factor and effective medium diffusivity which is used to characterize the mixing rates external to the fiber.  This parameter is the single parameter needed to extrapolate the extent of equilibration for </w:t>
      </w:r>
      <w:proofErr w:type="gramStart"/>
      <w:r w:rsidR="00B3290C">
        <w:t>a</w:t>
      </w:r>
      <w:proofErr w:type="gramEnd"/>
      <w:r w:rsidR="00B3290C">
        <w:t xml:space="preserve"> other compounds from the PRCs. The methodology is described in </w:t>
      </w:r>
      <w:r w:rsidR="00B3290C">
        <w:fldChar w:fldCharType="begin"/>
      </w:r>
      <w:r w:rsidR="00B3290C">
        <w:instrText xml:space="preserve"> ADDIN EN.CITE &lt;EndNote&gt;&lt;Cite&gt;&lt;Author&gt;Lampert&lt;/Author&gt;&lt;Year&gt;2015&lt;/Year&gt;&lt;RecNum&gt;1775&lt;/RecNum&gt;&lt;DisplayText&gt;(Lampert, Thomas et al. 2015)&lt;/DisplayText&gt;&lt;record&gt;&lt;rec-number&gt;1775&lt;/rec-number&gt;&lt;foreign-keys&gt;&lt;key app="EN" db-id="d0259frf2r9pzrepev9x05z79davzs90wd2a" timestamp="1422244299"&gt;1775&lt;/key&gt;&lt;/foreign-keys&gt;&lt;ref-type name="Journal Article"&gt;17&lt;/ref-type&gt;&lt;contributors&gt;&lt;authors&gt;&lt;author&gt;Lampert, DJ&lt;/author&gt;&lt;author&gt;Thomas, C&lt;/author&gt;&lt;author&gt;Reible, DD&lt;/author&gt;&lt;/authors&gt;&lt;/contributors&gt;&lt;titles&gt;&lt;title&gt;Internal and external transport significance for predicting contaminant uptake rates in passive samplers&lt;/title&gt;&lt;secondary-title&gt;Chemosphere&lt;/secondary-title&gt;&lt;/titles&gt;&lt;periodical&gt;&lt;full-title&gt;Chemosphere&lt;/full-title&gt;&lt;/periodical&gt;&lt;pages&gt;910-916&lt;/pages&gt;&lt;volume&gt;119&lt;/volume&gt;&lt;dates&gt;&lt;year&gt;2015&lt;/year&gt;&lt;/dates&gt;&lt;isbn&gt;0045-6535&lt;/isbn&gt;&lt;urls&gt;&lt;/urls&gt;&lt;/record&gt;&lt;/Cite&gt;&lt;/EndNote&gt;</w:instrText>
      </w:r>
      <w:r w:rsidR="00B3290C">
        <w:fldChar w:fldCharType="separate"/>
      </w:r>
      <w:r w:rsidR="00B3290C">
        <w:rPr>
          <w:noProof/>
        </w:rPr>
        <w:t>(Lampert, Thomas et al. 2015)</w:t>
      </w:r>
      <w:r w:rsidR="00B3290C">
        <w:fldChar w:fldCharType="end"/>
      </w:r>
      <w:r w:rsidR="00B3290C">
        <w:t xml:space="preserve">.  </w:t>
      </w:r>
      <w:r w:rsidR="0039280D">
        <w:t xml:space="preserve"> </w:t>
      </w:r>
      <w:r w:rsidR="00D65A21">
        <w:t xml:space="preserve">Please note that if you have more </w:t>
      </w:r>
      <w:r w:rsidR="0039280D">
        <w:t xml:space="preserve">than </w:t>
      </w:r>
      <w:r w:rsidR="00D65A21">
        <w:t xml:space="preserve">4 PAH PRCs or 7 PCB PRCs, you need to extend the sheets </w:t>
      </w:r>
      <w:r w:rsidR="007912E1">
        <w:t>here as well</w:t>
      </w:r>
      <w:r w:rsidR="00D65A21">
        <w:t xml:space="preserve">. </w:t>
      </w:r>
    </w:p>
    <w:p w:rsidR="00A9045C" w:rsidRDefault="00A9045C" w:rsidP="00A9045C">
      <w:pPr>
        <w:pStyle w:val="ListParagraph"/>
        <w:numPr>
          <w:ilvl w:val="0"/>
          <w:numId w:val="1"/>
        </w:numPr>
        <w:spacing w:line="480" w:lineRule="auto"/>
      </w:pPr>
      <w:r>
        <w:lastRenderedPageBreak/>
        <w:t>Results</w:t>
      </w:r>
    </w:p>
    <w:p w:rsidR="007912E1" w:rsidRPr="001B34DC" w:rsidRDefault="007912E1" w:rsidP="00A9045C">
      <w:pPr>
        <w:spacing w:line="480" w:lineRule="auto"/>
      </w:pPr>
      <w:r>
        <w:t>Part 4 provides the PRC</w:t>
      </w:r>
      <w:r w:rsidR="007A7A7A">
        <w:t>s</w:t>
      </w:r>
      <w:r w:rsidR="00B3290C">
        <w:t xml:space="preserve"> corrected concentration</w:t>
      </w:r>
      <w:r>
        <w:t xml:space="preserve"> results </w:t>
      </w:r>
      <w:r w:rsidR="00B3290C">
        <w:t>for the target compounds</w:t>
      </w:r>
      <w:r>
        <w:t xml:space="preserve">. First, figures of </w:t>
      </w:r>
      <w:proofErr w:type="spellStart"/>
      <w:r>
        <w:t>logRD</w:t>
      </w:r>
      <w:proofErr w:type="spellEnd"/>
      <w:r>
        <w:t xml:space="preserve"> vs. </w:t>
      </w:r>
      <w:proofErr w:type="spellStart"/>
      <w:r>
        <w:t>logK</w:t>
      </w:r>
      <w:r w:rsidRPr="007A7A7A">
        <w:rPr>
          <w:vertAlign w:val="subscript"/>
        </w:rPr>
        <w:t>ow</w:t>
      </w:r>
      <w:proofErr w:type="spellEnd"/>
      <w:r>
        <w:t xml:space="preserve"> for PRCs are given</w:t>
      </w:r>
      <w:r w:rsidR="00C623F8">
        <w:t xml:space="preserve"> (Figure 1)</w:t>
      </w:r>
      <w:r>
        <w:t xml:space="preserve">. </w:t>
      </w:r>
      <w:r w:rsidR="00B3290C">
        <w:t xml:space="preserve">  This plot allows you to see whether the extent of equilibration is adequately described by a simple model of log RD vs. </w:t>
      </w:r>
      <w:proofErr w:type="spellStart"/>
      <w:r w:rsidR="00B3290C">
        <w:t>logK</w:t>
      </w:r>
      <w:r w:rsidR="00B3290C">
        <w:rPr>
          <w:vertAlign w:val="subscript"/>
        </w:rPr>
        <w:t>ow</w:t>
      </w:r>
      <w:proofErr w:type="spellEnd"/>
      <w:r w:rsidR="00B3290C">
        <w:t xml:space="preserve">.   You can remove individual PRCs as a result of analytical problems or discrepancies if needed. </w:t>
      </w:r>
      <w:r w:rsidR="007A7A7A">
        <w:t xml:space="preserve">You can plot for both individual samples and averaged data. </w:t>
      </w:r>
      <w:r w:rsidR="00B3290C">
        <w:t xml:space="preserve"> </w:t>
      </w:r>
      <w:r w:rsidR="007A7A7A">
        <w:t xml:space="preserve">In </w:t>
      </w:r>
      <w:r w:rsidR="004C487F">
        <w:t>each figure</w:t>
      </w:r>
      <w:r w:rsidR="007A7A7A">
        <w:t xml:space="preserve">, a trend line will appear with a linear equation. The slope and intercept of the best fit line are required to continue the calculation. You need to </w:t>
      </w:r>
      <w:r w:rsidR="00B3290C">
        <w:t xml:space="preserve">choose the appropriate model (typically the average linear model unless there are differences in mixing and therefore equilibration across your site). </w:t>
      </w:r>
      <w:r w:rsidR="007A7A7A">
        <w:t xml:space="preserve"> </w:t>
      </w:r>
      <w:r w:rsidR="00B3290C">
        <w:t>You can also enter</w:t>
      </w:r>
      <w:r w:rsidR="007A7A7A">
        <w:t xml:space="preserve"> your target compounds and their </w:t>
      </w:r>
      <w:proofErr w:type="spellStart"/>
      <w:r w:rsidR="007A7A7A">
        <w:t>logK</w:t>
      </w:r>
      <w:r w:rsidR="007A7A7A" w:rsidRPr="007A7A7A">
        <w:rPr>
          <w:vertAlign w:val="subscript"/>
        </w:rPr>
        <w:t>ow</w:t>
      </w:r>
      <w:proofErr w:type="spellEnd"/>
      <w:r w:rsidR="007A7A7A">
        <w:t xml:space="preserve"> values in the table</w:t>
      </w:r>
      <w:r w:rsidR="00F60742">
        <w:t xml:space="preserve"> at the bottom of either the PAH or PRC worksheet.  Sample target compounds are shown but additional compounds can be added by copying these entries for additional target compounds. </w:t>
      </w:r>
      <w:r w:rsidR="007A7A7A">
        <w:t xml:space="preserve"> Once all required </w:t>
      </w:r>
      <w:r w:rsidR="00C623F8">
        <w:t xml:space="preserve">data are input, a figure of </w:t>
      </w:r>
      <w:proofErr w:type="spellStart"/>
      <w:r w:rsidR="00C623F8">
        <w:t>f</w:t>
      </w:r>
      <w:r w:rsidR="00C623F8" w:rsidRPr="00C623F8">
        <w:rPr>
          <w:vertAlign w:val="subscript"/>
        </w:rPr>
        <w:t>ss</w:t>
      </w:r>
      <w:proofErr w:type="spellEnd"/>
      <w:r w:rsidR="00C623F8">
        <w:t xml:space="preserve"> vs. </w:t>
      </w:r>
      <w:proofErr w:type="spellStart"/>
      <w:r w:rsidR="00C623F8">
        <w:t>logK</w:t>
      </w:r>
      <w:r w:rsidR="00C623F8" w:rsidRPr="00C623F8">
        <w:rPr>
          <w:vertAlign w:val="subscript"/>
        </w:rPr>
        <w:t>ow</w:t>
      </w:r>
      <w:proofErr w:type="spellEnd"/>
      <w:r w:rsidR="00C623F8">
        <w:t xml:space="preserve"> for both target compounds and PRCs will be given (Figure 2).</w:t>
      </w:r>
      <w:r w:rsidR="00F60742">
        <w:t xml:space="preserve">  Values from the model will automatically be updated f</w:t>
      </w:r>
      <w:r w:rsidR="001B34DC">
        <w:t xml:space="preserve">or the chosen target compounds and measured porewater concentrations can be corrected for deviation from steady state by dividing by the estimated </w:t>
      </w:r>
      <w:proofErr w:type="spellStart"/>
      <w:r w:rsidR="001B34DC">
        <w:t>f</w:t>
      </w:r>
      <w:r w:rsidR="001B34DC">
        <w:rPr>
          <w:vertAlign w:val="subscript"/>
        </w:rPr>
        <w:t>ss</w:t>
      </w:r>
      <w:proofErr w:type="spellEnd"/>
      <w:r w:rsidR="001B34DC">
        <w:t xml:space="preserve"> for the respective compounds. </w:t>
      </w:r>
      <w:bookmarkStart w:id="1" w:name="_GoBack"/>
      <w:bookmarkEnd w:id="1"/>
    </w:p>
    <w:p w:rsidR="00C623F8" w:rsidRDefault="00C623F8" w:rsidP="00C623F8">
      <w:pPr>
        <w:spacing w:line="480" w:lineRule="auto"/>
        <w:jc w:val="center"/>
      </w:pPr>
      <w:r>
        <w:rPr>
          <w:noProof/>
          <w:lang w:eastAsia="en-US"/>
        </w:rPr>
        <w:drawing>
          <wp:inline distT="0" distB="0" distL="0" distR="0" wp14:anchorId="7BDBABA1">
            <wp:extent cx="4056380" cy="28194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84959" cy="2839264"/>
                    </a:xfrm>
                    <a:prstGeom prst="rect">
                      <a:avLst/>
                    </a:prstGeom>
                    <a:noFill/>
                  </pic:spPr>
                </pic:pic>
              </a:graphicData>
            </a:graphic>
          </wp:inline>
        </w:drawing>
      </w:r>
    </w:p>
    <w:p w:rsidR="00C623F8" w:rsidRDefault="00C623F8" w:rsidP="00C623F8">
      <w:pPr>
        <w:spacing w:line="480" w:lineRule="auto"/>
        <w:jc w:val="center"/>
      </w:pPr>
      <w:r>
        <w:lastRenderedPageBreak/>
        <w:t xml:space="preserve">Figure 1. </w:t>
      </w:r>
      <w:proofErr w:type="spellStart"/>
      <w:proofErr w:type="gramStart"/>
      <w:r>
        <w:t>logRD</w:t>
      </w:r>
      <w:proofErr w:type="spellEnd"/>
      <w:proofErr w:type="gramEnd"/>
      <w:r>
        <w:t xml:space="preserve"> vs. </w:t>
      </w:r>
      <w:proofErr w:type="spellStart"/>
      <w:r>
        <w:t>logK</w:t>
      </w:r>
      <w:r w:rsidRPr="00C623F8">
        <w:rPr>
          <w:vertAlign w:val="subscript"/>
        </w:rPr>
        <w:t>ow</w:t>
      </w:r>
      <w:proofErr w:type="spellEnd"/>
      <w:r>
        <w:t xml:space="preserve"> for PRCs</w:t>
      </w:r>
    </w:p>
    <w:p w:rsidR="00C623F8" w:rsidRDefault="00C623F8" w:rsidP="00C623F8">
      <w:pPr>
        <w:spacing w:line="480" w:lineRule="auto"/>
        <w:jc w:val="center"/>
      </w:pPr>
      <w:r>
        <w:rPr>
          <w:noProof/>
          <w:lang w:eastAsia="en-US"/>
        </w:rPr>
        <w:drawing>
          <wp:inline distT="0" distB="0" distL="0" distR="0" wp14:anchorId="72C3337F">
            <wp:extent cx="4054475" cy="27432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54475" cy="2743200"/>
                    </a:xfrm>
                    <a:prstGeom prst="rect">
                      <a:avLst/>
                    </a:prstGeom>
                    <a:noFill/>
                  </pic:spPr>
                </pic:pic>
              </a:graphicData>
            </a:graphic>
          </wp:inline>
        </w:drawing>
      </w:r>
    </w:p>
    <w:p w:rsidR="00C623F8" w:rsidRDefault="00C623F8" w:rsidP="00C623F8">
      <w:pPr>
        <w:spacing w:line="480" w:lineRule="auto"/>
        <w:jc w:val="center"/>
      </w:pPr>
      <w:r>
        <w:t xml:space="preserve">Figure 2. </w:t>
      </w:r>
      <w:proofErr w:type="spellStart"/>
      <w:proofErr w:type="gramStart"/>
      <w:r>
        <w:t>f</w:t>
      </w:r>
      <w:r w:rsidRPr="00C623F8">
        <w:rPr>
          <w:vertAlign w:val="subscript"/>
        </w:rPr>
        <w:t>ss</w:t>
      </w:r>
      <w:proofErr w:type="spellEnd"/>
      <w:proofErr w:type="gramEnd"/>
      <w:r>
        <w:t xml:space="preserve"> vs. </w:t>
      </w:r>
      <w:proofErr w:type="spellStart"/>
      <w:r>
        <w:t>logK</w:t>
      </w:r>
      <w:r w:rsidRPr="00C623F8">
        <w:rPr>
          <w:vertAlign w:val="subscript"/>
        </w:rPr>
        <w:t>ow</w:t>
      </w:r>
      <w:proofErr w:type="spellEnd"/>
      <w:r>
        <w:t xml:space="preserve"> for PRCs and target compounds</w:t>
      </w:r>
    </w:p>
    <w:p w:rsidR="00D368EB" w:rsidRPr="00F60742" w:rsidRDefault="00D368EB">
      <w:r w:rsidRPr="00F60742">
        <w:br w:type="page"/>
      </w:r>
    </w:p>
    <w:p w:rsidR="00D368EB" w:rsidRPr="00D368EB" w:rsidRDefault="00D368EB" w:rsidP="00D368EB">
      <w:pPr>
        <w:spacing w:line="480" w:lineRule="auto"/>
        <w:rPr>
          <w:b/>
        </w:rPr>
      </w:pPr>
      <w:r w:rsidRPr="00D368EB">
        <w:rPr>
          <w:b/>
        </w:rPr>
        <w:lastRenderedPageBreak/>
        <w:t>References</w:t>
      </w:r>
    </w:p>
    <w:p w:rsidR="00D368EB" w:rsidRDefault="00D368EB" w:rsidP="00D368EB">
      <w:pPr>
        <w:pStyle w:val="ListParagraph"/>
        <w:numPr>
          <w:ilvl w:val="0"/>
          <w:numId w:val="2"/>
        </w:numPr>
        <w:spacing w:line="480" w:lineRule="auto"/>
      </w:pPr>
      <w:r w:rsidRPr="00D368EB">
        <w:t>Hawker D W, Connell D W. Octanol-water partition coefficients of polychlorinated biphenyl congeners</w:t>
      </w:r>
      <w:r>
        <w:t xml:space="preserve"> </w:t>
      </w:r>
      <w:r w:rsidRPr="00D368EB">
        <w:t>[J]. Environmental science &amp; technology, 1988, 22(4): 382-387.</w:t>
      </w:r>
    </w:p>
    <w:p w:rsidR="00B3290C" w:rsidRDefault="00D368EB" w:rsidP="00D368EB">
      <w:pPr>
        <w:pStyle w:val="ListParagraph"/>
        <w:numPr>
          <w:ilvl w:val="0"/>
          <w:numId w:val="2"/>
        </w:numPr>
        <w:spacing w:line="480" w:lineRule="auto"/>
      </w:pPr>
      <w:r w:rsidRPr="00D368EB">
        <w:t>Ghosh U, Kane Driscoll S, Burgess R M, et al. Passive sampling methods for contaminated sediments: Practical guidance for selection, calibration, and implementation</w:t>
      </w:r>
      <w:r>
        <w:t xml:space="preserve"> </w:t>
      </w:r>
      <w:r w:rsidRPr="00D368EB">
        <w:t>[J]. Integrated environmental assessment and management, 2014, 10(2): 210-223.</w:t>
      </w:r>
    </w:p>
    <w:p w:rsidR="00A60353" w:rsidRPr="00A60353" w:rsidRDefault="00B3290C" w:rsidP="00A60353">
      <w:pPr>
        <w:pStyle w:val="EndNoteBibliography"/>
      </w:pPr>
      <w:r>
        <w:fldChar w:fldCharType="begin"/>
      </w:r>
      <w:r>
        <w:instrText xml:space="preserve"> ADDIN EN.REFLIST </w:instrText>
      </w:r>
      <w:r>
        <w:fldChar w:fldCharType="separate"/>
      </w:r>
      <w:r w:rsidR="00A60353" w:rsidRPr="00A60353">
        <w:t xml:space="preserve">Lampert, D., C. Thomas and D. Reible (2015). "Internal and external transport significance for predicting contaminant uptake rates in passive samplers." </w:t>
      </w:r>
      <w:r w:rsidR="00A60353" w:rsidRPr="00A60353">
        <w:rPr>
          <w:u w:val="single"/>
        </w:rPr>
        <w:t>Chemosphere</w:t>
      </w:r>
      <w:r w:rsidR="00A60353" w:rsidRPr="00A60353">
        <w:t xml:space="preserve"> </w:t>
      </w:r>
      <w:r w:rsidR="00A60353" w:rsidRPr="00A60353">
        <w:rPr>
          <w:b/>
        </w:rPr>
        <w:t>119</w:t>
      </w:r>
      <w:r w:rsidR="00A60353" w:rsidRPr="00A60353">
        <w:t>: 910-916.</w:t>
      </w:r>
    </w:p>
    <w:p w:rsidR="00D368EB" w:rsidRPr="00D65A21" w:rsidRDefault="00B3290C" w:rsidP="00350F38">
      <w:pPr>
        <w:ind w:left="360"/>
      </w:pPr>
      <w:r>
        <w:fldChar w:fldCharType="end"/>
      </w:r>
    </w:p>
    <w:sectPr w:rsidR="00D368EB" w:rsidRPr="00D65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A70D2"/>
    <w:multiLevelType w:val="hybridMultilevel"/>
    <w:tmpl w:val="C8F28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0411B0"/>
    <w:multiLevelType w:val="hybridMultilevel"/>
    <w:tmpl w:val="B8EA6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9E1469"/>
    <w:multiLevelType w:val="hybridMultilevel"/>
    <w:tmpl w:val="36107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0259frf2r9pzrepev9x05z79davzs90wd2a&quot;&gt;Reible References&lt;record-ids&gt;&lt;item&gt;1775&lt;/item&gt;&lt;/record-ids&gt;&lt;/item&gt;&lt;/Libraries&gt;"/>
  </w:docVars>
  <w:rsids>
    <w:rsidRoot w:val="00A44C93"/>
    <w:rsid w:val="00080DF7"/>
    <w:rsid w:val="000954E3"/>
    <w:rsid w:val="00142B6E"/>
    <w:rsid w:val="00176D16"/>
    <w:rsid w:val="00186EC6"/>
    <w:rsid w:val="001B34DC"/>
    <w:rsid w:val="001D05A4"/>
    <w:rsid w:val="00227DE6"/>
    <w:rsid w:val="00292D63"/>
    <w:rsid w:val="002C223D"/>
    <w:rsid w:val="002E38C8"/>
    <w:rsid w:val="00305F4B"/>
    <w:rsid w:val="00350F38"/>
    <w:rsid w:val="00354B7A"/>
    <w:rsid w:val="0039280D"/>
    <w:rsid w:val="003B535E"/>
    <w:rsid w:val="003B7B24"/>
    <w:rsid w:val="004C487F"/>
    <w:rsid w:val="0063361C"/>
    <w:rsid w:val="0069118C"/>
    <w:rsid w:val="00695A63"/>
    <w:rsid w:val="006F57F7"/>
    <w:rsid w:val="00745DAE"/>
    <w:rsid w:val="007869DC"/>
    <w:rsid w:val="007912E1"/>
    <w:rsid w:val="00795C60"/>
    <w:rsid w:val="007A7A7A"/>
    <w:rsid w:val="00823E46"/>
    <w:rsid w:val="00832E74"/>
    <w:rsid w:val="00873792"/>
    <w:rsid w:val="008D6039"/>
    <w:rsid w:val="008F4BC9"/>
    <w:rsid w:val="00954E7A"/>
    <w:rsid w:val="00A44C93"/>
    <w:rsid w:val="00A60353"/>
    <w:rsid w:val="00A9045C"/>
    <w:rsid w:val="00AD5399"/>
    <w:rsid w:val="00B3290C"/>
    <w:rsid w:val="00C623F8"/>
    <w:rsid w:val="00D368EB"/>
    <w:rsid w:val="00D65A21"/>
    <w:rsid w:val="00DA6F5F"/>
    <w:rsid w:val="00F452A5"/>
    <w:rsid w:val="00F60742"/>
    <w:rsid w:val="00FD69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A3C81E97-FBA3-4C01-8681-690DD3AF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8C8"/>
    <w:pPr>
      <w:ind w:left="720"/>
      <w:contextualSpacing/>
    </w:pPr>
  </w:style>
  <w:style w:type="character" w:styleId="PlaceholderText">
    <w:name w:val="Placeholder Text"/>
    <w:basedOn w:val="DefaultParagraphFont"/>
    <w:uiPriority w:val="99"/>
    <w:semiHidden/>
    <w:rsid w:val="00080DF7"/>
    <w:rPr>
      <w:color w:val="808080"/>
    </w:rPr>
  </w:style>
  <w:style w:type="paragraph" w:customStyle="1" w:styleId="EndNoteBibliographyTitle">
    <w:name w:val="EndNote Bibliography Title"/>
    <w:basedOn w:val="Normal"/>
    <w:link w:val="EndNoteBibliographyTitleChar"/>
    <w:rsid w:val="00B3290C"/>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3290C"/>
    <w:rPr>
      <w:rFonts w:ascii="Calibri" w:hAnsi="Calibri"/>
      <w:noProof/>
    </w:rPr>
  </w:style>
  <w:style w:type="paragraph" w:customStyle="1" w:styleId="EndNoteBibliography">
    <w:name w:val="EndNote Bibliography"/>
    <w:basedOn w:val="Normal"/>
    <w:link w:val="EndNoteBibliographyChar"/>
    <w:rsid w:val="00B3290C"/>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3290C"/>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459203">
      <w:bodyDiv w:val="1"/>
      <w:marLeft w:val="0"/>
      <w:marRight w:val="0"/>
      <w:marTop w:val="0"/>
      <w:marBottom w:val="0"/>
      <w:divBdr>
        <w:top w:val="none" w:sz="0" w:space="0" w:color="auto"/>
        <w:left w:val="none" w:sz="0" w:space="0" w:color="auto"/>
        <w:bottom w:val="none" w:sz="0" w:space="0" w:color="auto"/>
        <w:right w:val="none" w:sz="0" w:space="0" w:color="auto"/>
      </w:divBdr>
      <w:divsChild>
        <w:div w:id="1668554051">
          <w:marLeft w:val="0"/>
          <w:marRight w:val="0"/>
          <w:marTop w:val="0"/>
          <w:marBottom w:val="0"/>
          <w:divBdr>
            <w:top w:val="none" w:sz="0" w:space="0" w:color="auto"/>
            <w:left w:val="none" w:sz="0" w:space="0" w:color="auto"/>
            <w:bottom w:val="none" w:sz="0" w:space="0" w:color="auto"/>
            <w:right w:val="none" w:sz="0" w:space="0" w:color="auto"/>
          </w:divBdr>
        </w:div>
      </w:divsChild>
    </w:div>
    <w:div w:id="417557898">
      <w:bodyDiv w:val="1"/>
      <w:marLeft w:val="0"/>
      <w:marRight w:val="0"/>
      <w:marTop w:val="0"/>
      <w:marBottom w:val="0"/>
      <w:divBdr>
        <w:top w:val="none" w:sz="0" w:space="0" w:color="auto"/>
        <w:left w:val="none" w:sz="0" w:space="0" w:color="auto"/>
        <w:bottom w:val="none" w:sz="0" w:space="0" w:color="auto"/>
        <w:right w:val="none" w:sz="0" w:space="0" w:color="auto"/>
      </w:divBdr>
    </w:div>
    <w:div w:id="482506717">
      <w:bodyDiv w:val="1"/>
      <w:marLeft w:val="0"/>
      <w:marRight w:val="0"/>
      <w:marTop w:val="0"/>
      <w:marBottom w:val="0"/>
      <w:divBdr>
        <w:top w:val="none" w:sz="0" w:space="0" w:color="auto"/>
        <w:left w:val="none" w:sz="0" w:space="0" w:color="auto"/>
        <w:bottom w:val="none" w:sz="0" w:space="0" w:color="auto"/>
        <w:right w:val="none" w:sz="0" w:space="0" w:color="auto"/>
      </w:divBdr>
    </w:div>
    <w:div w:id="1183133282">
      <w:bodyDiv w:val="1"/>
      <w:marLeft w:val="0"/>
      <w:marRight w:val="0"/>
      <w:marTop w:val="0"/>
      <w:marBottom w:val="0"/>
      <w:divBdr>
        <w:top w:val="none" w:sz="0" w:space="0" w:color="auto"/>
        <w:left w:val="none" w:sz="0" w:space="0" w:color="auto"/>
        <w:bottom w:val="none" w:sz="0" w:space="0" w:color="auto"/>
        <w:right w:val="none" w:sz="0" w:space="0" w:color="auto"/>
      </w:divBdr>
    </w:div>
    <w:div w:id="141396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package" Target="embeddings/Microsoft_Word_Document2.doc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e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package" Target="embeddings/Microsoft_Word_Document1.docx"/><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10988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Songjing</dc:creator>
  <cp:keywords/>
  <dc:description/>
  <cp:lastModifiedBy>Reible, Danny</cp:lastModifiedBy>
  <cp:revision>4</cp:revision>
  <dcterms:created xsi:type="dcterms:W3CDTF">2016-06-05T19:04:00Z</dcterms:created>
  <dcterms:modified xsi:type="dcterms:W3CDTF">2016-06-05T19:22:00Z</dcterms:modified>
</cp:coreProperties>
</file>