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B747D6" w14:textId="3C6DA788" w:rsidR="00814024" w:rsidRPr="00601BB3" w:rsidRDefault="006255B9" w:rsidP="00601BB3">
      <w:pPr>
        <w:pStyle w:val="NoSpacing"/>
        <w:rPr>
          <w:rFonts w:cs="Times New Roman"/>
        </w:rPr>
      </w:pPr>
      <w:bookmarkStart w:id="0" w:name="_GoBack"/>
      <w:bookmarkEnd w:id="0"/>
      <w:r w:rsidRPr="00741611">
        <w:rPr>
          <w:rFonts w:cs="Times New Roman"/>
          <w:noProof/>
        </w:rPr>
        <w:drawing>
          <wp:inline distT="0" distB="0" distL="0" distR="0" wp14:anchorId="65965557" wp14:editId="5EAAD182">
            <wp:extent cx="3701143" cy="815975"/>
            <wp:effectExtent l="0" t="0" r="0" b="3175"/>
            <wp:docPr id="4" name="Picture 4" descr="C:\Documents and Settings\kjacobse\Local Settings\Temporary Internet Files\Content.Word\DblT CO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kjacobse\Local Settings\Temporary Internet Files\Content.Word\DblT COE.JPG"/>
                    <pic:cNvPicPr>
                      <a:picLocks noChangeAspect="1" noChangeArrowheads="1"/>
                    </pic:cNvPicPr>
                  </pic:nvPicPr>
                  <pic:blipFill>
                    <a:blip r:embed="rId8" cstate="print"/>
                    <a:srcRect/>
                    <a:stretch>
                      <a:fillRect/>
                    </a:stretch>
                  </pic:blipFill>
                  <pic:spPr bwMode="auto">
                    <a:xfrm>
                      <a:off x="0" y="0"/>
                      <a:ext cx="3701143" cy="815975"/>
                    </a:xfrm>
                    <a:prstGeom prst="rect">
                      <a:avLst/>
                    </a:prstGeom>
                    <a:noFill/>
                    <a:ln w="9525">
                      <a:noFill/>
                      <a:miter lim="800000"/>
                      <a:headEnd/>
                      <a:tailEnd/>
                    </a:ln>
                  </pic:spPr>
                </pic:pic>
              </a:graphicData>
            </a:graphic>
          </wp:inline>
        </w:drawing>
      </w:r>
    </w:p>
    <w:p w14:paraId="5AE4DF1F" w14:textId="77777777" w:rsidR="00304642" w:rsidRPr="00601BB3" w:rsidRDefault="00304642" w:rsidP="006255B9">
      <w:pPr>
        <w:pStyle w:val="NoSpacing"/>
        <w:jc w:val="center"/>
        <w:rPr>
          <w:rFonts w:eastAsia="Times New Roman" w:cs="Times New Roman"/>
          <w:b/>
          <w:color w:val="000000"/>
          <w:sz w:val="22"/>
          <w:szCs w:val="32"/>
        </w:rPr>
      </w:pPr>
    </w:p>
    <w:p w14:paraId="7F12151B" w14:textId="616C9883" w:rsidR="000E4855" w:rsidRPr="00601BB3" w:rsidRDefault="006255B9" w:rsidP="00601BB3">
      <w:pPr>
        <w:pStyle w:val="NoSpacing"/>
        <w:jc w:val="center"/>
        <w:rPr>
          <w:rFonts w:eastAsia="Times New Roman" w:cs="Times New Roman"/>
          <w:b/>
          <w:color w:val="000000"/>
          <w:sz w:val="28"/>
          <w:szCs w:val="32"/>
        </w:rPr>
      </w:pPr>
      <w:r w:rsidRPr="00601BB3">
        <w:rPr>
          <w:rFonts w:eastAsia="Times New Roman" w:cs="Times New Roman"/>
          <w:b/>
          <w:color w:val="000000"/>
          <w:sz w:val="28"/>
          <w:szCs w:val="32"/>
        </w:rPr>
        <w:t>College of Education</w:t>
      </w:r>
      <w:r w:rsidR="00601BB3">
        <w:rPr>
          <w:rFonts w:eastAsia="Times New Roman" w:cs="Times New Roman"/>
          <w:b/>
          <w:color w:val="000000"/>
          <w:sz w:val="28"/>
          <w:szCs w:val="32"/>
        </w:rPr>
        <w:t xml:space="preserve"> </w:t>
      </w:r>
      <w:r w:rsidRPr="00601BB3">
        <w:rPr>
          <w:rFonts w:eastAsia="Times New Roman" w:cs="Times New Roman"/>
          <w:b/>
          <w:color w:val="000000"/>
          <w:sz w:val="28"/>
          <w:szCs w:val="32"/>
        </w:rPr>
        <w:t>Strategic Plan</w:t>
      </w:r>
      <w:r w:rsidR="00601BB3">
        <w:rPr>
          <w:rFonts w:eastAsia="Times New Roman" w:cs="Times New Roman"/>
          <w:b/>
          <w:color w:val="000000"/>
          <w:sz w:val="28"/>
          <w:szCs w:val="32"/>
        </w:rPr>
        <w:t xml:space="preserve"> </w:t>
      </w:r>
      <w:r w:rsidRPr="00601BB3">
        <w:rPr>
          <w:rFonts w:eastAsia="Times New Roman" w:cs="Times New Roman"/>
          <w:b/>
          <w:color w:val="000000"/>
          <w:sz w:val="28"/>
          <w:szCs w:val="32"/>
        </w:rPr>
        <w:t>201</w:t>
      </w:r>
      <w:r w:rsidR="00012258" w:rsidRPr="00601BB3">
        <w:rPr>
          <w:rFonts w:eastAsia="Times New Roman" w:cs="Times New Roman"/>
          <w:b/>
          <w:color w:val="000000"/>
          <w:sz w:val="28"/>
          <w:szCs w:val="32"/>
        </w:rPr>
        <w:t>8-2025</w:t>
      </w:r>
    </w:p>
    <w:p w14:paraId="264B9996" w14:textId="77777777" w:rsidR="00814024" w:rsidRPr="000E4855" w:rsidRDefault="00814024" w:rsidP="000E4855">
      <w:pPr>
        <w:pStyle w:val="NoSpacing"/>
        <w:jc w:val="center"/>
        <w:rPr>
          <w:rFonts w:eastAsia="Times New Roman" w:cs="Times New Roman"/>
          <w:b/>
          <w:color w:val="000000"/>
          <w:szCs w:val="32"/>
        </w:rPr>
      </w:pPr>
    </w:p>
    <w:p w14:paraId="4C80CF7A" w14:textId="614D5CDE" w:rsidR="008B275A" w:rsidRPr="00C618A0" w:rsidRDefault="00144B00" w:rsidP="00C618A0">
      <w:r w:rsidRPr="00A867C8">
        <w:rPr>
          <w:rStyle w:val="NoSpacingChar"/>
          <w:rFonts w:cs="Times New Roman"/>
          <w:szCs w:val="24"/>
        </w:rPr>
        <w:t xml:space="preserve">The College of Education </w:t>
      </w:r>
      <w:r w:rsidR="0051159E">
        <w:rPr>
          <w:rStyle w:val="NoSpacingChar"/>
          <w:rFonts w:cs="Times New Roman"/>
          <w:szCs w:val="24"/>
        </w:rPr>
        <w:t xml:space="preserve">(COE) </w:t>
      </w:r>
      <w:r w:rsidRPr="00A867C8">
        <w:rPr>
          <w:rStyle w:val="NoSpacingChar"/>
          <w:rFonts w:cs="Times New Roman"/>
          <w:szCs w:val="24"/>
        </w:rPr>
        <w:t xml:space="preserve">at Texas Tech University </w:t>
      </w:r>
      <w:r w:rsidR="0051159E">
        <w:rPr>
          <w:rStyle w:val="NoSpacingChar"/>
          <w:rFonts w:cs="Times New Roman"/>
          <w:szCs w:val="24"/>
        </w:rPr>
        <w:t xml:space="preserve">(TTU) </w:t>
      </w:r>
      <w:r w:rsidRPr="00A867C8">
        <w:rPr>
          <w:rStyle w:val="NoSpacingChar"/>
          <w:rFonts w:cs="Times New Roman"/>
          <w:szCs w:val="24"/>
        </w:rPr>
        <w:t xml:space="preserve">aspires to be a national </w:t>
      </w:r>
      <w:r w:rsidR="004B06C6">
        <w:rPr>
          <w:rStyle w:val="NoSpacingChar"/>
          <w:rFonts w:cs="Times New Roman"/>
          <w:szCs w:val="24"/>
        </w:rPr>
        <w:t xml:space="preserve">leader in </w:t>
      </w:r>
      <w:r w:rsidR="00304642">
        <w:rPr>
          <w:rStyle w:val="NoSpacingChar"/>
          <w:rFonts w:cs="Times New Roman"/>
          <w:szCs w:val="24"/>
        </w:rPr>
        <w:t xml:space="preserve">both </w:t>
      </w:r>
      <w:r w:rsidR="00BD2034">
        <w:rPr>
          <w:rStyle w:val="NoSpacingChar"/>
          <w:rFonts w:cs="Times New Roman"/>
          <w:szCs w:val="24"/>
        </w:rPr>
        <w:t>the preparation of educators and the dissemination of educational research</w:t>
      </w:r>
      <w:r w:rsidR="00304642">
        <w:rPr>
          <w:rStyle w:val="NoSpacingChar"/>
          <w:rFonts w:cs="Times New Roman"/>
          <w:szCs w:val="24"/>
        </w:rPr>
        <w:t xml:space="preserve">.  </w:t>
      </w:r>
      <w:r w:rsidR="003C30A1">
        <w:rPr>
          <w:rStyle w:val="NoSpacingChar"/>
          <w:rFonts w:cs="Times New Roman"/>
          <w:szCs w:val="24"/>
        </w:rPr>
        <w:t>A state-of-the-</w:t>
      </w:r>
      <w:r w:rsidR="002F3920">
        <w:rPr>
          <w:rStyle w:val="NoSpacingChar"/>
          <w:rFonts w:cs="Times New Roman"/>
          <w:szCs w:val="24"/>
        </w:rPr>
        <w:t xml:space="preserve">art teacher education program and </w:t>
      </w:r>
      <w:r w:rsidR="00933C48">
        <w:rPr>
          <w:rStyle w:val="NoSpacingChar"/>
          <w:rFonts w:cs="Times New Roman"/>
          <w:szCs w:val="24"/>
        </w:rPr>
        <w:t xml:space="preserve">first-rate graduate and professional programs </w:t>
      </w:r>
      <w:r w:rsidR="004D78A5">
        <w:rPr>
          <w:rStyle w:val="NoSpacingChar"/>
          <w:rFonts w:cs="Times New Roman"/>
          <w:szCs w:val="24"/>
        </w:rPr>
        <w:t>including</w:t>
      </w:r>
      <w:r w:rsidR="00304642">
        <w:rPr>
          <w:rStyle w:val="NoSpacingChar"/>
          <w:rFonts w:cs="Times New Roman"/>
          <w:szCs w:val="24"/>
        </w:rPr>
        <w:t xml:space="preserve"> </w:t>
      </w:r>
      <w:r w:rsidR="00BD2034">
        <w:rPr>
          <w:rStyle w:val="NoSpacingChar"/>
          <w:rFonts w:cs="Times New Roman"/>
          <w:szCs w:val="24"/>
        </w:rPr>
        <w:t>engaged scholarship</w:t>
      </w:r>
      <w:r w:rsidR="004D78A5">
        <w:rPr>
          <w:rStyle w:val="NoSpacingChar"/>
          <w:rFonts w:cs="Times New Roman"/>
          <w:szCs w:val="24"/>
        </w:rPr>
        <w:t xml:space="preserve"> opportunities</w:t>
      </w:r>
      <w:r w:rsidR="003C30A1">
        <w:rPr>
          <w:rStyle w:val="NoSpacingChar"/>
          <w:rFonts w:cs="Times New Roman"/>
          <w:szCs w:val="24"/>
        </w:rPr>
        <w:t xml:space="preserve"> </w:t>
      </w:r>
      <w:r w:rsidR="008A5F7B">
        <w:rPr>
          <w:rStyle w:val="NoSpacingChar"/>
          <w:rFonts w:cs="Times New Roman"/>
          <w:szCs w:val="24"/>
        </w:rPr>
        <w:t xml:space="preserve">to </w:t>
      </w:r>
      <w:r w:rsidR="003C30A1">
        <w:rPr>
          <w:rStyle w:val="NoSpacingChar"/>
          <w:rFonts w:cs="Times New Roman"/>
          <w:szCs w:val="24"/>
        </w:rPr>
        <w:t>guide the College’s pursuit of excellence</w:t>
      </w:r>
      <w:r w:rsidR="00BD2034">
        <w:rPr>
          <w:rStyle w:val="NoSpacingChar"/>
          <w:rFonts w:cs="Times New Roman"/>
          <w:szCs w:val="24"/>
        </w:rPr>
        <w:t xml:space="preserve">. </w:t>
      </w:r>
      <w:r w:rsidR="003C30A1">
        <w:rPr>
          <w:rStyle w:val="NoSpacingChar"/>
          <w:rFonts w:cs="Times New Roman"/>
          <w:szCs w:val="24"/>
        </w:rPr>
        <w:t xml:space="preserve"> </w:t>
      </w:r>
      <w:r w:rsidR="00636874">
        <w:rPr>
          <w:rStyle w:val="NoSpacingChar"/>
          <w:rFonts w:cs="Times New Roman"/>
          <w:szCs w:val="24"/>
        </w:rPr>
        <w:t xml:space="preserve">Additionally, </w:t>
      </w:r>
      <w:r w:rsidR="003C30A1">
        <w:rPr>
          <w:rStyle w:val="NoSpacingChar"/>
          <w:rFonts w:cs="Times New Roman"/>
          <w:szCs w:val="24"/>
        </w:rPr>
        <w:t xml:space="preserve">collaboration with the greater community drives our College vision and mission. </w:t>
      </w:r>
    </w:p>
    <w:p w14:paraId="04A46220" w14:textId="6D69C0A6" w:rsidR="008B275A" w:rsidRPr="00442822" w:rsidRDefault="008B275A" w:rsidP="008B275A">
      <w:pPr>
        <w:pStyle w:val="NoSpacing"/>
        <w:rPr>
          <w:rFonts w:cs="Times New Roman"/>
          <w:i/>
          <w:szCs w:val="24"/>
        </w:rPr>
      </w:pPr>
      <w:r w:rsidRPr="00442822">
        <w:rPr>
          <w:rFonts w:cs="Times New Roman"/>
          <w:b/>
          <w:i/>
          <w:szCs w:val="24"/>
        </w:rPr>
        <w:t xml:space="preserve">Our Mission: </w:t>
      </w:r>
      <w:r w:rsidR="00C618A0" w:rsidRPr="00C618A0">
        <w:rPr>
          <w:rFonts w:cs="Times New Roman"/>
          <w:i/>
          <w:szCs w:val="24"/>
        </w:rPr>
        <w:t xml:space="preserve">Through </w:t>
      </w:r>
      <w:r w:rsidR="00C618A0">
        <w:rPr>
          <w:rFonts w:cs="Times New Roman"/>
          <w:i/>
          <w:szCs w:val="24"/>
        </w:rPr>
        <w:t>investing in</w:t>
      </w:r>
      <w:r w:rsidR="00C618A0" w:rsidRPr="00C618A0">
        <w:rPr>
          <w:rFonts w:cs="Times New Roman"/>
          <w:i/>
          <w:szCs w:val="24"/>
        </w:rPr>
        <w:t xml:space="preserve"> a diverse student body,</w:t>
      </w:r>
      <w:r w:rsidR="00C618A0">
        <w:rPr>
          <w:rFonts w:cs="Times New Roman"/>
          <w:b/>
          <w:i/>
          <w:szCs w:val="24"/>
        </w:rPr>
        <w:t xml:space="preserve"> </w:t>
      </w:r>
      <w:r w:rsidR="00C618A0">
        <w:rPr>
          <w:rFonts w:cs="Times New Roman"/>
          <w:i/>
          <w:szCs w:val="24"/>
        </w:rPr>
        <w:t xml:space="preserve">the COE </w:t>
      </w:r>
      <w:r w:rsidR="00434E36">
        <w:rPr>
          <w:rFonts w:cs="Times New Roman"/>
          <w:i/>
          <w:szCs w:val="24"/>
        </w:rPr>
        <w:t>promotes</w:t>
      </w:r>
      <w:r w:rsidR="002F3920" w:rsidRPr="00442822">
        <w:rPr>
          <w:rFonts w:cs="Times New Roman"/>
          <w:i/>
          <w:szCs w:val="24"/>
        </w:rPr>
        <w:t xml:space="preserve"> </w:t>
      </w:r>
      <w:r w:rsidR="000E4855">
        <w:rPr>
          <w:rFonts w:cs="Times New Roman"/>
          <w:i/>
          <w:szCs w:val="24"/>
        </w:rPr>
        <w:t xml:space="preserve">excellence in </w:t>
      </w:r>
      <w:r w:rsidR="00434E36">
        <w:rPr>
          <w:rFonts w:cs="Times New Roman"/>
          <w:i/>
          <w:szCs w:val="24"/>
        </w:rPr>
        <w:t xml:space="preserve">educator </w:t>
      </w:r>
      <w:r w:rsidR="008A5F7B">
        <w:rPr>
          <w:rFonts w:cs="Times New Roman"/>
          <w:i/>
          <w:szCs w:val="24"/>
        </w:rPr>
        <w:t xml:space="preserve">and professional </w:t>
      </w:r>
      <w:r w:rsidR="00434E36">
        <w:rPr>
          <w:rFonts w:cs="Times New Roman"/>
          <w:i/>
          <w:szCs w:val="24"/>
        </w:rPr>
        <w:t xml:space="preserve">preparation </w:t>
      </w:r>
      <w:r w:rsidR="008A5F7B">
        <w:rPr>
          <w:rFonts w:cs="Times New Roman"/>
          <w:i/>
          <w:szCs w:val="24"/>
        </w:rPr>
        <w:t>t</w:t>
      </w:r>
      <w:r w:rsidR="00C618A0">
        <w:rPr>
          <w:rFonts w:cs="Times New Roman"/>
          <w:i/>
          <w:szCs w:val="24"/>
        </w:rPr>
        <w:t xml:space="preserve">o </w:t>
      </w:r>
      <w:r w:rsidR="008A5F7B">
        <w:rPr>
          <w:rFonts w:cs="Times New Roman"/>
          <w:i/>
          <w:szCs w:val="24"/>
        </w:rPr>
        <w:t xml:space="preserve">meet the real-world challenges of our </w:t>
      </w:r>
      <w:r w:rsidR="00C618A0">
        <w:rPr>
          <w:rFonts w:cs="Times New Roman"/>
          <w:i/>
          <w:szCs w:val="24"/>
        </w:rPr>
        <w:t>day</w:t>
      </w:r>
      <w:r w:rsidR="008A5F7B">
        <w:rPr>
          <w:rFonts w:cs="Times New Roman"/>
          <w:i/>
          <w:szCs w:val="24"/>
        </w:rPr>
        <w:t xml:space="preserve">.  </w:t>
      </w:r>
      <w:r w:rsidR="00C618A0">
        <w:rPr>
          <w:rFonts w:cs="Times New Roman"/>
          <w:i/>
          <w:szCs w:val="24"/>
        </w:rPr>
        <w:t>We disseminate</w:t>
      </w:r>
      <w:r w:rsidR="00434E36">
        <w:rPr>
          <w:rFonts w:cs="Times New Roman"/>
          <w:i/>
          <w:szCs w:val="24"/>
        </w:rPr>
        <w:t xml:space="preserve"> research</w:t>
      </w:r>
      <w:r w:rsidR="00C618A0">
        <w:rPr>
          <w:rFonts w:cs="Times New Roman"/>
          <w:i/>
          <w:szCs w:val="24"/>
        </w:rPr>
        <w:t xml:space="preserve"> focused on improving educational outcomes</w:t>
      </w:r>
      <w:r w:rsidRPr="00442822">
        <w:rPr>
          <w:rFonts w:cs="Times New Roman"/>
          <w:i/>
          <w:szCs w:val="24"/>
        </w:rPr>
        <w:t xml:space="preserve">.  We are committed to engagement with </w:t>
      </w:r>
      <w:r w:rsidR="000E4855">
        <w:rPr>
          <w:rFonts w:cs="Times New Roman"/>
          <w:i/>
          <w:szCs w:val="24"/>
        </w:rPr>
        <w:t>partner</w:t>
      </w:r>
      <w:r w:rsidR="00434E36">
        <w:rPr>
          <w:rFonts w:cs="Times New Roman"/>
          <w:i/>
          <w:szCs w:val="24"/>
        </w:rPr>
        <w:t>s</w:t>
      </w:r>
      <w:r w:rsidR="004305E1" w:rsidRPr="00442822">
        <w:rPr>
          <w:rFonts w:cs="Times New Roman"/>
          <w:i/>
          <w:szCs w:val="24"/>
        </w:rPr>
        <w:t xml:space="preserve"> </w:t>
      </w:r>
      <w:r w:rsidR="002F3920" w:rsidRPr="00442822">
        <w:rPr>
          <w:rFonts w:cs="Times New Roman"/>
          <w:i/>
          <w:szCs w:val="24"/>
        </w:rPr>
        <w:t>through</w:t>
      </w:r>
      <w:r w:rsidR="004305E1" w:rsidRPr="00442822">
        <w:rPr>
          <w:rFonts w:cs="Times New Roman"/>
          <w:i/>
          <w:szCs w:val="24"/>
        </w:rPr>
        <w:t xml:space="preserve"> </w:t>
      </w:r>
      <w:r w:rsidRPr="00442822">
        <w:rPr>
          <w:rFonts w:cs="Times New Roman"/>
          <w:i/>
          <w:szCs w:val="24"/>
        </w:rPr>
        <w:t>mutual collaboration, innovation and improvement.</w:t>
      </w:r>
    </w:p>
    <w:p w14:paraId="31552132" w14:textId="77777777" w:rsidR="008B275A" w:rsidRDefault="008B275A" w:rsidP="008B275A">
      <w:pPr>
        <w:pStyle w:val="NoSpacing"/>
        <w:rPr>
          <w:rFonts w:cs="Times New Roman"/>
          <w:szCs w:val="24"/>
        </w:rPr>
      </w:pPr>
    </w:p>
    <w:p w14:paraId="5DD03D31" w14:textId="57DF4D1E" w:rsidR="00814024" w:rsidRPr="000E4855" w:rsidRDefault="00EF7212" w:rsidP="00222F77">
      <w:pPr>
        <w:rPr>
          <w:rFonts w:cs="Times New Roman"/>
          <w:b/>
          <w:szCs w:val="24"/>
        </w:rPr>
      </w:pPr>
      <w:r>
        <w:t>Our</w:t>
      </w:r>
      <w:r w:rsidR="001A2A46">
        <w:t xml:space="preserve"> strategic plan</w:t>
      </w:r>
      <w:r w:rsidR="000271A7">
        <w:t xml:space="preserve"> is organized around</w:t>
      </w:r>
      <w:r w:rsidR="001A2A46">
        <w:t xml:space="preserve"> three goals broken down by objectives.  Each objective is supported by long-term strategies designed to bring about full implementation of the goals and objectives.</w:t>
      </w:r>
      <w:r w:rsidR="001A2A46" w:rsidRPr="001A2A46">
        <w:t xml:space="preserve"> </w:t>
      </w:r>
    </w:p>
    <w:p w14:paraId="09179007" w14:textId="2C9E5E07" w:rsidR="00C609FF" w:rsidRDefault="00601BB3" w:rsidP="00222F77">
      <w:pPr>
        <w:rPr>
          <w:szCs w:val="24"/>
        </w:rPr>
      </w:pPr>
      <w:r w:rsidRPr="00EF7212">
        <w:rPr>
          <w:b/>
          <w:noProof/>
          <w:sz w:val="28"/>
          <w:szCs w:val="28"/>
          <w:u w:val="single"/>
        </w:rPr>
        <mc:AlternateContent>
          <mc:Choice Requires="wps">
            <w:drawing>
              <wp:anchor distT="45720" distB="45720" distL="114300" distR="114300" simplePos="0" relativeHeight="251659264" behindDoc="0" locked="0" layoutInCell="1" allowOverlap="1" wp14:anchorId="5E12C138" wp14:editId="3F65B0AA">
                <wp:simplePos x="0" y="0"/>
                <wp:positionH relativeFrom="margin">
                  <wp:align>right</wp:align>
                </wp:positionH>
                <wp:positionV relativeFrom="paragraph">
                  <wp:posOffset>1069975</wp:posOffset>
                </wp:positionV>
                <wp:extent cx="5741670" cy="1209675"/>
                <wp:effectExtent l="38100" t="38100" r="106680" b="1238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1670" cy="1209675"/>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14:paraId="6413953C" w14:textId="019362F3" w:rsidR="00EF7212" w:rsidRPr="00442822" w:rsidRDefault="00EF7212" w:rsidP="00EF7212">
                            <w:pPr>
                              <w:rPr>
                                <w:b/>
                                <w:sz w:val="28"/>
                                <w:szCs w:val="28"/>
                                <w:u w:val="single"/>
                              </w:rPr>
                            </w:pPr>
                            <w:r w:rsidRPr="00442822">
                              <w:rPr>
                                <w:b/>
                                <w:sz w:val="28"/>
                                <w:szCs w:val="28"/>
                                <w:u w:val="single"/>
                              </w:rPr>
                              <w:t>TTU Strategic Priorit</w:t>
                            </w:r>
                            <w:r>
                              <w:rPr>
                                <w:b/>
                                <w:sz w:val="28"/>
                                <w:szCs w:val="28"/>
                                <w:u w:val="single"/>
                              </w:rPr>
                              <w:t>y 1</w:t>
                            </w:r>
                            <w:r w:rsidRPr="00442822">
                              <w:rPr>
                                <w:b/>
                                <w:sz w:val="28"/>
                                <w:szCs w:val="28"/>
                                <w:u w:val="single"/>
                              </w:rPr>
                              <w:t>:</w:t>
                            </w:r>
                          </w:p>
                          <w:p w14:paraId="5E511E19" w14:textId="77777777" w:rsidR="00EF7212" w:rsidRDefault="00EF7212" w:rsidP="00DB1022">
                            <w:pPr>
                              <w:pStyle w:val="ListParagraph"/>
                              <w:ind w:left="420"/>
                              <w:rPr>
                                <w:b/>
                                <w:color w:val="FF0000"/>
                                <w:szCs w:val="24"/>
                              </w:rPr>
                            </w:pPr>
                            <w:r w:rsidRPr="00442822">
                              <w:rPr>
                                <w:b/>
                                <w:color w:val="FF0000"/>
                                <w:szCs w:val="24"/>
                              </w:rPr>
                              <w:t>Educate and empower a diverse student body.</w:t>
                            </w:r>
                          </w:p>
                          <w:p w14:paraId="68FC9639" w14:textId="77777777" w:rsidR="00EF7212" w:rsidRPr="008A0C2C" w:rsidRDefault="00EF7212" w:rsidP="00442822">
                            <w:pPr>
                              <w:pStyle w:val="ListParagraph"/>
                              <w:ind w:left="420"/>
                              <w:rPr>
                                <w:b/>
                                <w:color w:val="FF0000"/>
                                <w:szCs w:val="24"/>
                              </w:rPr>
                            </w:pPr>
                            <w:r w:rsidRPr="00442822">
                              <w:rPr>
                                <w:rFonts w:ascii="ITC Charter W01" w:hAnsi="ITC Charter W01"/>
                                <w:i/>
                                <w:color w:val="1B1B1B"/>
                              </w:rPr>
                              <w:t>Student success will reflect the University's commitment to fostering an environment that promotes inclusive access while attracting committed and high-achieving students.</w:t>
                            </w:r>
                          </w:p>
                          <w:p w14:paraId="0B6C3EDB" w14:textId="547D8545" w:rsidR="00EF7212" w:rsidRDefault="00EF721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5E12C138" id="_x0000_t202" coordsize="21600,21600" o:spt="202" path="m,l,21600r21600,l21600,xe">
                <v:stroke joinstyle="miter"/>
                <v:path gradientshapeok="t" o:connecttype="rect"/>
              </v:shapetype>
              <v:shape id="Text Box 2" o:spid="_x0000_s1026" type="#_x0000_t202" style="position:absolute;margin-left:400.9pt;margin-top:84.25pt;width:452.1pt;height:95.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">
                <v:shadow on="t" color="black" opacity="26214f" origin="-.5,-.5" offset=".74836mm,.74836mm"/>
                <v:textbox>
                  <w:txbxContent>
                    <w:p w14:paraId="6413953C" w14:textId="019362F3" w:rsidR="00EF7212" w:rsidRPr="00442822" w:rsidRDefault="00EF7212" w:rsidP="00EF7212">
                      <w:pPr>
                        <w:rPr>
                          <w:b/>
                          <w:sz w:val="28"/>
                          <w:szCs w:val="28"/>
                          <w:u w:val="single"/>
                        </w:rPr>
                      </w:pPr>
                      <w:r w:rsidRPr="00442822">
                        <w:rPr>
                          <w:b/>
                          <w:sz w:val="28"/>
                          <w:szCs w:val="28"/>
                          <w:u w:val="single"/>
                        </w:rPr>
                        <w:t>TTU Strategic Priorit</w:t>
                      </w:r>
                      <w:r>
                        <w:rPr>
                          <w:b/>
                          <w:sz w:val="28"/>
                          <w:szCs w:val="28"/>
                          <w:u w:val="single"/>
                        </w:rPr>
                        <w:t>y 1</w:t>
                      </w:r>
                      <w:r w:rsidRPr="00442822">
                        <w:rPr>
                          <w:b/>
                          <w:sz w:val="28"/>
                          <w:szCs w:val="28"/>
                          <w:u w:val="single"/>
                        </w:rPr>
                        <w:t>:</w:t>
                      </w:r>
                    </w:p>
                    <w:p w14:paraId="5E511E19" w14:textId="77777777" w:rsidR="00EF7212" w:rsidRDefault="00EF7212" w:rsidP="00DB1022">
                      <w:pPr>
                        <w:pStyle w:val="ListParagraph"/>
                        <w:ind w:left="420"/>
                        <w:rPr>
                          <w:b/>
                          <w:color w:val="FF0000"/>
                          <w:szCs w:val="24"/>
                        </w:rPr>
                      </w:pPr>
                      <w:r w:rsidRPr="00442822">
                        <w:rPr>
                          <w:b/>
                          <w:color w:val="FF0000"/>
                          <w:szCs w:val="24"/>
                        </w:rPr>
                        <w:t>Educate and empower a diverse student body.</w:t>
                      </w:r>
                    </w:p>
                    <w:p w14:paraId="68FC9639" w14:textId="77777777" w:rsidR="00EF7212" w:rsidRPr="008A0C2C" w:rsidRDefault="00EF7212" w:rsidP="00442822">
                      <w:pPr>
                        <w:pStyle w:val="ListParagraph"/>
                        <w:ind w:left="420"/>
                        <w:rPr>
                          <w:b/>
                          <w:color w:val="FF0000"/>
                          <w:szCs w:val="24"/>
                        </w:rPr>
                      </w:pPr>
                      <w:r w:rsidRPr="00442822">
                        <w:rPr>
                          <w:rFonts w:ascii="ITC Charter W01" w:hAnsi="ITC Charter W01"/>
                          <w:i/>
                          <w:color w:val="1B1B1B"/>
                        </w:rPr>
                        <w:t>Student success will reflect the University's commitment to fostering an environment that promotes inclusive access while attracting committed and high-achieving students.</w:t>
                      </w:r>
                    </w:p>
                    <w:p w14:paraId="0B6C3EDB" w14:textId="547D8545" w:rsidR="00EF7212" w:rsidRDefault="00EF7212"/>
                  </w:txbxContent>
                </v:textbox>
                <w10:wrap type="square" anchorx="margin"/>
              </v:shape>
            </w:pict>
          </mc:Fallback>
        </mc:AlternateContent>
      </w:r>
      <w:r w:rsidR="0041495E">
        <w:rPr>
          <w:szCs w:val="24"/>
        </w:rPr>
        <w:t xml:space="preserve">The College of Education Strategic Plan complements the current Strategic </w:t>
      </w:r>
      <w:r w:rsidR="00814024">
        <w:rPr>
          <w:szCs w:val="24"/>
        </w:rPr>
        <w:t>Plan</w:t>
      </w:r>
      <w:r w:rsidR="0041495E">
        <w:rPr>
          <w:szCs w:val="24"/>
        </w:rPr>
        <w:t xml:space="preserve"> of Texas Tech University</w:t>
      </w:r>
      <w:r w:rsidR="00C609FF">
        <w:rPr>
          <w:szCs w:val="24"/>
        </w:rPr>
        <w:t xml:space="preserve"> linked here: </w:t>
      </w:r>
      <w:hyperlink r:id="rId9" w:history="1">
        <w:r w:rsidR="00C609FF" w:rsidRPr="00E3039C">
          <w:rPr>
            <w:rStyle w:val="Hyperlink"/>
            <w:szCs w:val="24"/>
          </w:rPr>
          <w:t>http://www.ttu.edu/stratplan/StrategicPlan.pdf</w:t>
        </w:r>
      </w:hyperlink>
      <w:r w:rsidR="0041495E">
        <w:rPr>
          <w:szCs w:val="24"/>
        </w:rPr>
        <w:t xml:space="preserve">.  As such, each goal, objective, and strategy of the </w:t>
      </w:r>
      <w:r w:rsidR="00873529">
        <w:rPr>
          <w:szCs w:val="24"/>
        </w:rPr>
        <w:t>COE</w:t>
      </w:r>
      <w:r w:rsidR="0041495E">
        <w:rPr>
          <w:szCs w:val="24"/>
        </w:rPr>
        <w:t xml:space="preserve"> is a sub-set of the </w:t>
      </w:r>
      <w:r w:rsidR="00C609FF">
        <w:rPr>
          <w:szCs w:val="24"/>
        </w:rPr>
        <w:t xml:space="preserve">three </w:t>
      </w:r>
      <w:r w:rsidR="0041495E">
        <w:rPr>
          <w:szCs w:val="24"/>
        </w:rPr>
        <w:t>university strategic priorities.</w:t>
      </w:r>
      <w:r w:rsidR="000271A7">
        <w:rPr>
          <w:szCs w:val="24"/>
        </w:rPr>
        <w:t xml:space="preserve">  The remainder of the document outlines the </w:t>
      </w:r>
      <w:r w:rsidR="00EF7212">
        <w:rPr>
          <w:szCs w:val="24"/>
        </w:rPr>
        <w:t>alignment of university priorities with</w:t>
      </w:r>
      <w:r w:rsidR="000271A7">
        <w:rPr>
          <w:szCs w:val="24"/>
        </w:rPr>
        <w:t xml:space="preserve"> </w:t>
      </w:r>
      <w:r w:rsidR="00873529">
        <w:rPr>
          <w:szCs w:val="24"/>
        </w:rPr>
        <w:t>COE</w:t>
      </w:r>
      <w:r w:rsidR="000271A7">
        <w:rPr>
          <w:szCs w:val="24"/>
        </w:rPr>
        <w:t xml:space="preserve"> goals, objectives, and strategies.  </w:t>
      </w:r>
    </w:p>
    <w:p w14:paraId="3EA677E1" w14:textId="1E23C111" w:rsidR="00FC27A4" w:rsidRPr="00601BB3" w:rsidRDefault="00A75456" w:rsidP="00601BB3">
      <w:pPr>
        <w:rPr>
          <w:b/>
          <w:sz w:val="28"/>
          <w:szCs w:val="28"/>
          <w:u w:val="single"/>
        </w:rPr>
      </w:pPr>
      <w:r w:rsidRPr="00442822">
        <w:rPr>
          <w:rFonts w:cs="Times New Roman"/>
          <w:b/>
          <w:sz w:val="28"/>
          <w:szCs w:val="28"/>
          <w:u w:val="single"/>
        </w:rPr>
        <w:t xml:space="preserve">COE </w:t>
      </w:r>
      <w:r w:rsidR="00FC27A4" w:rsidRPr="00442822">
        <w:rPr>
          <w:rFonts w:cs="Times New Roman"/>
          <w:b/>
          <w:sz w:val="28"/>
          <w:szCs w:val="28"/>
          <w:u w:val="single"/>
        </w:rPr>
        <w:t>Strategic Goal</w:t>
      </w:r>
      <w:r w:rsidR="00EF7212" w:rsidRPr="00442822">
        <w:rPr>
          <w:rFonts w:cs="Times New Roman"/>
          <w:b/>
          <w:sz w:val="28"/>
          <w:szCs w:val="28"/>
          <w:u w:val="single"/>
        </w:rPr>
        <w:t xml:space="preserve"> 1: </w:t>
      </w:r>
    </w:p>
    <w:p w14:paraId="51047752" w14:textId="32D51AE2" w:rsidR="00C618A0" w:rsidRPr="00C618A0" w:rsidRDefault="00814024" w:rsidP="00C618A0">
      <w:pPr>
        <w:widowControl w:val="0"/>
        <w:autoSpaceDE w:val="0"/>
        <w:autoSpaceDN w:val="0"/>
        <w:adjustRightInd w:val="0"/>
        <w:spacing w:after="0" w:line="240" w:lineRule="auto"/>
        <w:rPr>
          <w:rFonts w:cstheme="minorHAnsi"/>
          <w:i/>
          <w:color w:val="000000"/>
          <w:szCs w:val="24"/>
        </w:rPr>
      </w:pPr>
      <w:r>
        <w:rPr>
          <w:rFonts w:cstheme="minorHAnsi"/>
          <w:bCs/>
          <w:i/>
          <w:iCs/>
          <w:color w:val="000000"/>
          <w:szCs w:val="24"/>
        </w:rPr>
        <w:t xml:space="preserve">The COE </w:t>
      </w:r>
      <w:r w:rsidR="00E01B38">
        <w:rPr>
          <w:rFonts w:cstheme="minorHAnsi"/>
          <w:bCs/>
          <w:i/>
          <w:iCs/>
          <w:color w:val="000000"/>
          <w:szCs w:val="24"/>
        </w:rPr>
        <w:t xml:space="preserve">will recruit, retain, and graduate a diverse student body who demonstrate the ability to create inclusive environments meeting the needs of our society.  </w:t>
      </w:r>
    </w:p>
    <w:p w14:paraId="33625590" w14:textId="77777777" w:rsidR="00C618A0" w:rsidRDefault="00C618A0" w:rsidP="00601BB3">
      <w:pPr>
        <w:rPr>
          <w:b/>
          <w:szCs w:val="24"/>
          <w:u w:val="single"/>
        </w:rPr>
      </w:pPr>
    </w:p>
    <w:p w14:paraId="5E7947CF" w14:textId="77777777" w:rsidR="00C618A0" w:rsidRDefault="00C618A0" w:rsidP="00601BB3">
      <w:pPr>
        <w:rPr>
          <w:b/>
          <w:szCs w:val="24"/>
          <w:u w:val="single"/>
        </w:rPr>
      </w:pPr>
    </w:p>
    <w:p w14:paraId="34752226" w14:textId="77777777" w:rsidR="00E01B38" w:rsidRDefault="00E01B38" w:rsidP="00601BB3">
      <w:pPr>
        <w:rPr>
          <w:b/>
          <w:szCs w:val="24"/>
          <w:u w:val="single"/>
        </w:rPr>
      </w:pPr>
    </w:p>
    <w:p w14:paraId="0BED09BA" w14:textId="4675EC57" w:rsidR="00B92B98" w:rsidRPr="00601BB3" w:rsidRDefault="00B3779A" w:rsidP="00601BB3">
      <w:pPr>
        <w:rPr>
          <w:b/>
          <w:szCs w:val="24"/>
          <w:u w:val="single"/>
        </w:rPr>
      </w:pPr>
      <w:r w:rsidRPr="00B3779A">
        <w:rPr>
          <w:b/>
          <w:szCs w:val="24"/>
          <w:u w:val="single"/>
        </w:rPr>
        <w:lastRenderedPageBreak/>
        <w:t>Objectives:</w:t>
      </w:r>
    </w:p>
    <w:p w14:paraId="1F9AE8C2" w14:textId="6BDDC038" w:rsidR="00B834FC" w:rsidRPr="002B5936" w:rsidRDefault="008C6CC9" w:rsidP="00F57BBD">
      <w:pPr>
        <w:pStyle w:val="NoSpacing"/>
        <w:ind w:left="720"/>
      </w:pPr>
      <w:r w:rsidRPr="008C6CC9">
        <w:rPr>
          <w:b/>
        </w:rPr>
        <w:t>Objective 1.</w:t>
      </w:r>
      <w:r w:rsidR="00C51EFD">
        <w:rPr>
          <w:b/>
        </w:rPr>
        <w:t>1</w:t>
      </w:r>
      <w:r w:rsidRPr="008C6CC9">
        <w:rPr>
          <w:b/>
        </w:rPr>
        <w:t xml:space="preserve"> – Transformative </w:t>
      </w:r>
      <w:r w:rsidR="002B5936">
        <w:rPr>
          <w:b/>
        </w:rPr>
        <w:t xml:space="preserve">Learning: </w:t>
      </w:r>
      <w:r w:rsidR="0064067A">
        <w:t>By 2025, the COE</w:t>
      </w:r>
      <w:r w:rsidR="002B5936">
        <w:t xml:space="preserve"> will systematically engage all undergraduate and</w:t>
      </w:r>
      <w:r w:rsidR="00265B41">
        <w:t xml:space="preserve"> graduate students in </w:t>
      </w:r>
      <w:r w:rsidR="002B5936">
        <w:t xml:space="preserve">community </w:t>
      </w:r>
      <w:r w:rsidR="00814024">
        <w:t>engaged</w:t>
      </w:r>
      <w:r w:rsidR="00E01B38">
        <w:t xml:space="preserve"> and other </w:t>
      </w:r>
      <w:r w:rsidR="00F1475B">
        <w:t>signature educational</w:t>
      </w:r>
      <w:r w:rsidR="00C51EFD">
        <w:t xml:space="preserve"> experiences.</w:t>
      </w:r>
    </w:p>
    <w:p w14:paraId="4C64A875" w14:textId="77777777" w:rsidR="005A6674" w:rsidRDefault="005A6674" w:rsidP="00442822">
      <w:pPr>
        <w:pStyle w:val="NoSpacing"/>
        <w:rPr>
          <w:b/>
        </w:rPr>
      </w:pPr>
    </w:p>
    <w:p w14:paraId="0ED6DE9B" w14:textId="0CD201AA" w:rsidR="00881459" w:rsidRDefault="001E702A" w:rsidP="00881459">
      <w:pPr>
        <w:pStyle w:val="NoSpacing"/>
        <w:ind w:left="720" w:firstLine="360"/>
        <w:rPr>
          <w:b/>
        </w:rPr>
      </w:pPr>
      <w:r>
        <w:rPr>
          <w:b/>
        </w:rPr>
        <w:t xml:space="preserve">Long-Term </w:t>
      </w:r>
      <w:r w:rsidR="00881459" w:rsidRPr="00852847">
        <w:rPr>
          <w:b/>
        </w:rPr>
        <w:t>Strategies:</w:t>
      </w:r>
    </w:p>
    <w:p w14:paraId="6A94BD8A" w14:textId="77777777" w:rsidR="00814024" w:rsidRPr="00852847" w:rsidRDefault="00814024" w:rsidP="00881459">
      <w:pPr>
        <w:pStyle w:val="NoSpacing"/>
        <w:ind w:left="720" w:firstLine="360"/>
        <w:rPr>
          <w:b/>
        </w:rPr>
      </w:pPr>
    </w:p>
    <w:p w14:paraId="038CD416" w14:textId="013CBB2A" w:rsidR="00C51EFD" w:rsidRDefault="00460582" w:rsidP="00601BB3">
      <w:pPr>
        <w:pStyle w:val="NoSpacing"/>
        <w:numPr>
          <w:ilvl w:val="0"/>
          <w:numId w:val="16"/>
        </w:numPr>
      </w:pPr>
      <w:r>
        <w:t>F</w:t>
      </w:r>
      <w:r w:rsidR="00E407AB">
        <w:t xml:space="preserve">ocus on </w:t>
      </w:r>
      <w:r w:rsidR="00E01B38">
        <w:t>student learning outcomes</w:t>
      </w:r>
      <w:r w:rsidR="00E407AB">
        <w:t xml:space="preserve"> </w:t>
      </w:r>
      <w:r w:rsidR="00E01B38">
        <w:t>and</w:t>
      </w:r>
      <w:r w:rsidR="00E407AB">
        <w:t xml:space="preserve"> </w:t>
      </w:r>
      <w:r w:rsidR="00E01B38">
        <w:t xml:space="preserve">their </w:t>
      </w:r>
      <w:r w:rsidR="00E407AB">
        <w:t>impact</w:t>
      </w:r>
      <w:r w:rsidR="003F11A6">
        <w:t xml:space="preserve"> on student achievement</w:t>
      </w:r>
      <w:r>
        <w:t xml:space="preserve"> in undergraduate </w:t>
      </w:r>
      <w:r w:rsidR="00E01B38">
        <w:t>and graduates</w:t>
      </w:r>
      <w:r>
        <w:t xml:space="preserve"> programs</w:t>
      </w:r>
      <w:r w:rsidR="003F11A6">
        <w:t xml:space="preserve">. </w:t>
      </w:r>
    </w:p>
    <w:p w14:paraId="5C3D9F17" w14:textId="23986FC3" w:rsidR="006733BC" w:rsidRDefault="00460582" w:rsidP="006733BC">
      <w:pPr>
        <w:pStyle w:val="NoSpacing"/>
        <w:numPr>
          <w:ilvl w:val="0"/>
          <w:numId w:val="16"/>
        </w:numPr>
      </w:pPr>
      <w:r>
        <w:t>P</w:t>
      </w:r>
      <w:r w:rsidR="00C51EFD">
        <w:t xml:space="preserve">rovide an opportunity for </w:t>
      </w:r>
      <w:r w:rsidR="006733BC">
        <w:t xml:space="preserve">undergraduate and graduate </w:t>
      </w:r>
      <w:r w:rsidR="00C51EFD">
        <w:t>students</w:t>
      </w:r>
      <w:r w:rsidR="001E702A">
        <w:t xml:space="preserve"> to </w:t>
      </w:r>
      <w:r w:rsidR="001E702A" w:rsidRPr="00C51EFD">
        <w:t>apply</w:t>
      </w:r>
      <w:r w:rsidR="001E702A">
        <w:t xml:space="preserve"> the conceptu</w:t>
      </w:r>
      <w:r>
        <w:t xml:space="preserve">al learning they acquire in </w:t>
      </w:r>
      <w:r w:rsidR="006733BC">
        <w:t>their</w:t>
      </w:r>
      <w:r>
        <w:t xml:space="preserve"> </w:t>
      </w:r>
      <w:r w:rsidR="001E702A">
        <w:t>programs.</w:t>
      </w:r>
    </w:p>
    <w:p w14:paraId="25753614" w14:textId="77CD9675" w:rsidR="00881459" w:rsidRPr="008C6CC9" w:rsidRDefault="00881459" w:rsidP="00C51EFD">
      <w:pPr>
        <w:pStyle w:val="NoSpacing"/>
        <w:rPr>
          <w:b/>
        </w:rPr>
      </w:pPr>
    </w:p>
    <w:p w14:paraId="743347E9" w14:textId="1A51EFCD" w:rsidR="00B3779A" w:rsidRPr="00B834FC" w:rsidRDefault="00B3779A" w:rsidP="00B834FC">
      <w:pPr>
        <w:pStyle w:val="NoSpacing"/>
        <w:ind w:left="720"/>
        <w:rPr>
          <w:u w:val="single"/>
        </w:rPr>
      </w:pPr>
      <w:r w:rsidRPr="00B3779A">
        <w:rPr>
          <w:b/>
        </w:rPr>
        <w:t xml:space="preserve">Objective </w:t>
      </w:r>
      <w:r w:rsidR="00255BEB">
        <w:rPr>
          <w:b/>
        </w:rPr>
        <w:t>1.</w:t>
      </w:r>
      <w:r w:rsidR="00C51EFD">
        <w:rPr>
          <w:b/>
        </w:rPr>
        <w:t>2</w:t>
      </w:r>
      <w:r w:rsidRPr="00B3779A">
        <w:rPr>
          <w:b/>
        </w:rPr>
        <w:t xml:space="preserve"> </w:t>
      </w:r>
      <w:r w:rsidR="00B834FC">
        <w:rPr>
          <w:b/>
        </w:rPr>
        <w:t xml:space="preserve">– </w:t>
      </w:r>
      <w:r w:rsidR="001E702A">
        <w:rPr>
          <w:b/>
        </w:rPr>
        <w:t xml:space="preserve">Enrollment Management: </w:t>
      </w:r>
      <w:r w:rsidR="003E7F55">
        <w:t>T</w:t>
      </w:r>
      <w:r w:rsidR="00A22CD8">
        <w:t>he COE</w:t>
      </w:r>
      <w:r w:rsidRPr="00B3779A">
        <w:t xml:space="preserve"> will grow </w:t>
      </w:r>
      <w:r w:rsidR="00A22CD8">
        <w:t>undergraduate enrollment to 1,019</w:t>
      </w:r>
      <w:r w:rsidR="004D09CE">
        <w:t xml:space="preserve"> students</w:t>
      </w:r>
      <w:r w:rsidR="00B834FC">
        <w:t xml:space="preserve"> and </w:t>
      </w:r>
      <w:r w:rsidRPr="00B3779A">
        <w:t>gra</w:t>
      </w:r>
      <w:r w:rsidR="00A22CD8">
        <w:t>duate enrollment to 1,98</w:t>
      </w:r>
      <w:r w:rsidR="002B5936">
        <w:t>0</w:t>
      </w:r>
      <w:r w:rsidR="004D09CE">
        <w:t xml:space="preserve"> students</w:t>
      </w:r>
      <w:r w:rsidR="002B5936">
        <w:t xml:space="preserve"> by 2025</w:t>
      </w:r>
      <w:r w:rsidRPr="00B3779A">
        <w:t>.</w:t>
      </w:r>
      <w:r w:rsidR="00471AD2">
        <w:t xml:space="preserve">  The </w:t>
      </w:r>
      <w:r w:rsidR="00A22CD8">
        <w:t>COE</w:t>
      </w:r>
      <w:r w:rsidR="00471AD2">
        <w:t xml:space="preserve"> will also i</w:t>
      </w:r>
      <w:r w:rsidR="00037229">
        <w:t>ncrease retention and graduation rates.</w:t>
      </w:r>
    </w:p>
    <w:p w14:paraId="6E5AB10D" w14:textId="77777777" w:rsidR="00B3779A" w:rsidRDefault="00B3779A" w:rsidP="00F57BBD">
      <w:pPr>
        <w:pStyle w:val="NoSpacing"/>
        <w:ind w:left="720"/>
      </w:pPr>
    </w:p>
    <w:p w14:paraId="11D096DA" w14:textId="134FC5C1" w:rsidR="00D14471" w:rsidRDefault="001E702A" w:rsidP="00D14471">
      <w:pPr>
        <w:pStyle w:val="NoSpacing"/>
        <w:ind w:left="720" w:firstLine="360"/>
        <w:rPr>
          <w:b/>
        </w:rPr>
      </w:pPr>
      <w:r>
        <w:rPr>
          <w:b/>
        </w:rPr>
        <w:t xml:space="preserve">Long-Term </w:t>
      </w:r>
      <w:r w:rsidR="00D14471" w:rsidRPr="00852847">
        <w:rPr>
          <w:b/>
        </w:rPr>
        <w:t>Strategies:</w:t>
      </w:r>
    </w:p>
    <w:p w14:paraId="67384427" w14:textId="77777777" w:rsidR="00814024" w:rsidRPr="00852847" w:rsidRDefault="00814024" w:rsidP="00D14471">
      <w:pPr>
        <w:pStyle w:val="NoSpacing"/>
        <w:ind w:left="720" w:firstLine="360"/>
        <w:rPr>
          <w:b/>
        </w:rPr>
      </w:pPr>
    </w:p>
    <w:p w14:paraId="38279EAD" w14:textId="1A70445E" w:rsidR="001E702A" w:rsidRPr="00601BB3" w:rsidRDefault="00460582" w:rsidP="00601BB3">
      <w:pPr>
        <w:pStyle w:val="NoSpacing"/>
        <w:numPr>
          <w:ilvl w:val="0"/>
          <w:numId w:val="17"/>
        </w:numPr>
      </w:pPr>
      <w:r>
        <w:t xml:space="preserve">Address the needs </w:t>
      </w:r>
      <w:r w:rsidR="003E7F55">
        <w:t xml:space="preserve">identified by various educational </w:t>
      </w:r>
      <w:r w:rsidR="00F21778">
        <w:t>stakeholders</w:t>
      </w:r>
      <w:r w:rsidR="00D14471">
        <w:t xml:space="preserve">. </w:t>
      </w:r>
    </w:p>
    <w:p w14:paraId="5DF16C32" w14:textId="3197328D" w:rsidR="00D14471" w:rsidRDefault="00814024" w:rsidP="00D14471">
      <w:pPr>
        <w:pStyle w:val="NoSpacing"/>
        <w:numPr>
          <w:ilvl w:val="0"/>
          <w:numId w:val="17"/>
        </w:numPr>
      </w:pPr>
      <w:r>
        <w:t>Increase</w:t>
      </w:r>
      <w:r w:rsidR="003E7F55">
        <w:t xml:space="preserve"> </w:t>
      </w:r>
      <w:r w:rsidR="00C51EFD">
        <w:t>c</w:t>
      </w:r>
      <w:r w:rsidR="003E7F55">
        <w:t xml:space="preserve">ollege-wide tangible supports for students in addition to traditional coursework to </w:t>
      </w:r>
      <w:r>
        <w:t>improve</w:t>
      </w:r>
      <w:r w:rsidR="003E7F55">
        <w:t xml:space="preserve"> both retention and </w:t>
      </w:r>
      <w:r>
        <w:t>completion</w:t>
      </w:r>
      <w:r w:rsidR="00875629">
        <w:t>.</w:t>
      </w:r>
    </w:p>
    <w:p w14:paraId="2A04635C" w14:textId="03FEA4DE" w:rsidR="006733BC" w:rsidRDefault="006733BC" w:rsidP="00D14471">
      <w:pPr>
        <w:pStyle w:val="NoSpacing"/>
        <w:numPr>
          <w:ilvl w:val="0"/>
          <w:numId w:val="17"/>
        </w:numPr>
      </w:pPr>
      <w:r>
        <w:t>Provide scholarship funding for undergraduate and graduate enrollment.</w:t>
      </w:r>
    </w:p>
    <w:p w14:paraId="2907CF54" w14:textId="77777777" w:rsidR="00D14471" w:rsidRPr="00B3779A" w:rsidRDefault="00D14471" w:rsidP="00875629">
      <w:pPr>
        <w:pStyle w:val="NoSpacing"/>
      </w:pPr>
    </w:p>
    <w:p w14:paraId="2F78344E" w14:textId="45266B2A" w:rsidR="00601BB3" w:rsidRDefault="00B3779A" w:rsidP="00601BB3">
      <w:pPr>
        <w:pStyle w:val="NoSpacing"/>
        <w:ind w:left="720"/>
      </w:pPr>
      <w:r w:rsidRPr="00B3779A">
        <w:rPr>
          <w:b/>
        </w:rPr>
        <w:t xml:space="preserve">Objective </w:t>
      </w:r>
      <w:r w:rsidR="00255BEB">
        <w:rPr>
          <w:b/>
        </w:rPr>
        <w:t>1.</w:t>
      </w:r>
      <w:r w:rsidR="00C51EFD">
        <w:rPr>
          <w:b/>
        </w:rPr>
        <w:t>3</w:t>
      </w:r>
      <w:r w:rsidR="0001037D">
        <w:rPr>
          <w:b/>
        </w:rPr>
        <w:t xml:space="preserve"> </w:t>
      </w:r>
      <w:r w:rsidR="001E702A">
        <w:rPr>
          <w:b/>
        </w:rPr>
        <w:t>–</w:t>
      </w:r>
      <w:r w:rsidR="0001037D">
        <w:rPr>
          <w:b/>
        </w:rPr>
        <w:t xml:space="preserve"> </w:t>
      </w:r>
      <w:r w:rsidR="001E702A">
        <w:rPr>
          <w:b/>
        </w:rPr>
        <w:t xml:space="preserve">Diverse Student Population: </w:t>
      </w:r>
      <w:r w:rsidR="00B72B58">
        <w:t>T</w:t>
      </w:r>
      <w:r w:rsidR="006733BC">
        <w:t>he COE</w:t>
      </w:r>
      <w:r w:rsidR="00471AD2">
        <w:t xml:space="preserve"> will </w:t>
      </w:r>
      <w:r w:rsidR="006733BC">
        <w:t xml:space="preserve">embrace the </w:t>
      </w:r>
      <w:r w:rsidR="00FC27A4" w:rsidRPr="00A07B05">
        <w:t>diverse</w:t>
      </w:r>
      <w:r w:rsidR="00FC27A4">
        <w:t xml:space="preserve"> </w:t>
      </w:r>
      <w:r w:rsidR="006733BC">
        <w:t xml:space="preserve">student </w:t>
      </w:r>
      <w:r w:rsidR="00FC27A4" w:rsidRPr="00A07B05">
        <w:t xml:space="preserve">demographics </w:t>
      </w:r>
      <w:r w:rsidR="00B72B58">
        <w:t>reflected in our</w:t>
      </w:r>
      <w:r w:rsidR="00FC27A4" w:rsidRPr="00A07B05">
        <w:t xml:space="preserve"> state.</w:t>
      </w:r>
    </w:p>
    <w:p w14:paraId="43C42AA9" w14:textId="77777777" w:rsidR="00601BB3" w:rsidRPr="00601BB3" w:rsidRDefault="00601BB3" w:rsidP="00601BB3">
      <w:pPr>
        <w:pStyle w:val="NoSpacing"/>
        <w:ind w:left="720"/>
      </w:pPr>
    </w:p>
    <w:p w14:paraId="180670AB" w14:textId="67F11052" w:rsidR="00F541C3" w:rsidRPr="00F541C3" w:rsidRDefault="001E702A" w:rsidP="00A35F74">
      <w:pPr>
        <w:spacing w:line="240" w:lineRule="auto"/>
        <w:ind w:left="1080"/>
        <w:rPr>
          <w:b/>
        </w:rPr>
      </w:pPr>
      <w:r>
        <w:rPr>
          <w:b/>
        </w:rPr>
        <w:t xml:space="preserve">Long-Term </w:t>
      </w:r>
      <w:r w:rsidR="00875629" w:rsidRPr="00F541C3">
        <w:rPr>
          <w:b/>
        </w:rPr>
        <w:t>Strategies:</w:t>
      </w:r>
      <w:r w:rsidR="00471AD2">
        <w:rPr>
          <w:b/>
        </w:rPr>
        <w:t xml:space="preserve"> </w:t>
      </w:r>
    </w:p>
    <w:p w14:paraId="2DD786D5" w14:textId="30AD8585" w:rsidR="00B72B58" w:rsidRDefault="00A47F21" w:rsidP="005C35C6">
      <w:pPr>
        <w:pStyle w:val="ListParagraph"/>
        <w:numPr>
          <w:ilvl w:val="0"/>
          <w:numId w:val="18"/>
        </w:numPr>
        <w:spacing w:line="240" w:lineRule="auto"/>
      </w:pPr>
      <w:r>
        <w:t xml:space="preserve">Develop academic programs </w:t>
      </w:r>
      <w:r w:rsidR="00B72B58">
        <w:t xml:space="preserve">and partnerships </w:t>
      </w:r>
      <w:r>
        <w:t>with community college systems</w:t>
      </w:r>
      <w:r w:rsidR="00B72B58">
        <w:t>, foundations, educational non-profits and corporate entities.</w:t>
      </w:r>
    </w:p>
    <w:p w14:paraId="57D71EA8" w14:textId="61C3A915" w:rsidR="00C51EFD" w:rsidRDefault="007A2A93" w:rsidP="005C35C6">
      <w:pPr>
        <w:pStyle w:val="ListParagraph"/>
        <w:numPr>
          <w:ilvl w:val="0"/>
          <w:numId w:val="18"/>
        </w:numPr>
        <w:spacing w:line="240" w:lineRule="auto"/>
      </w:pPr>
      <w:r>
        <w:t>Continue to diversify faculty and staff in the COE</w:t>
      </w:r>
      <w:r w:rsidR="00B72B58">
        <w:t>.</w:t>
      </w:r>
    </w:p>
    <w:p w14:paraId="6FD48807" w14:textId="63FA43C4" w:rsidR="00601BB3" w:rsidRPr="00601BB3" w:rsidRDefault="00601BB3" w:rsidP="00C51EFD">
      <w:pPr>
        <w:pStyle w:val="ListParagraph"/>
        <w:numPr>
          <w:ilvl w:val="0"/>
          <w:numId w:val="18"/>
        </w:numPr>
      </w:pPr>
      <w:r>
        <w:rPr>
          <w:noProof/>
        </w:rPr>
        <mc:AlternateContent>
          <mc:Choice Requires="wps">
            <w:drawing>
              <wp:anchor distT="45720" distB="45720" distL="114300" distR="114300" simplePos="0" relativeHeight="251661312" behindDoc="0" locked="0" layoutInCell="1" allowOverlap="1" wp14:anchorId="4D646BC9" wp14:editId="5BA2103C">
                <wp:simplePos x="0" y="0"/>
                <wp:positionH relativeFrom="margin">
                  <wp:align>left</wp:align>
                </wp:positionH>
                <wp:positionV relativeFrom="paragraph">
                  <wp:posOffset>683895</wp:posOffset>
                </wp:positionV>
                <wp:extent cx="5867400" cy="1476375"/>
                <wp:effectExtent l="38100" t="38100" r="114300" b="12382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1476375"/>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14:paraId="247616FD" w14:textId="1703EC11" w:rsidR="00EF7212" w:rsidRDefault="00EF7212" w:rsidP="00EF7212">
                            <w:pPr>
                              <w:rPr>
                                <w:b/>
                                <w:szCs w:val="24"/>
                                <w:u w:val="single"/>
                              </w:rPr>
                            </w:pPr>
                            <w:r>
                              <w:rPr>
                                <w:b/>
                                <w:szCs w:val="24"/>
                                <w:u w:val="single"/>
                              </w:rPr>
                              <w:t>TTU Strategic Priority 2</w:t>
                            </w:r>
                            <w:r w:rsidRPr="00291373">
                              <w:rPr>
                                <w:b/>
                                <w:szCs w:val="24"/>
                                <w:u w:val="single"/>
                              </w:rPr>
                              <w:t>:</w:t>
                            </w:r>
                          </w:p>
                          <w:p w14:paraId="615CBA1B" w14:textId="77777777" w:rsidR="00EF7212" w:rsidRPr="001A3923" w:rsidRDefault="00EF7212" w:rsidP="00DB1022">
                            <w:pPr>
                              <w:pStyle w:val="ListParagraph"/>
                              <w:ind w:left="420"/>
                              <w:rPr>
                                <w:b/>
                                <w:color w:val="FF0000"/>
                                <w:szCs w:val="24"/>
                              </w:rPr>
                            </w:pPr>
                            <w:r w:rsidRPr="001A3923">
                              <w:rPr>
                                <w:b/>
                                <w:color w:val="FF0000"/>
                                <w:szCs w:val="24"/>
                              </w:rPr>
                              <w:t>Enable innovative research and creative activities.</w:t>
                            </w:r>
                          </w:p>
                          <w:p w14:paraId="3D5C819D" w14:textId="77777777" w:rsidR="00EF7212" w:rsidRPr="001A3923" w:rsidRDefault="00EF7212" w:rsidP="00EF7212">
                            <w:pPr>
                              <w:pStyle w:val="ListParagraph"/>
                              <w:ind w:left="420"/>
                              <w:rPr>
                                <w:rFonts w:ascii="ITC Charter W01" w:hAnsi="ITC Charter W01"/>
                                <w:i/>
                                <w:color w:val="1B1B1B"/>
                              </w:rPr>
                            </w:pPr>
                            <w:r w:rsidRPr="001A3923">
                              <w:rPr>
                                <w:rFonts w:ascii="ITC Charter W01" w:hAnsi="ITC Charter W01"/>
                                <w:i/>
                                <w:color w:val="1B1B1B"/>
                              </w:rPr>
                              <w:t>We will continue to expand research, scholarship and creative activity to discover and advance knowledge, to improve quality and sustainability of life for the citizens of our state, nation and world, and to support technology transfer and other activities that enhance economies.</w:t>
                            </w:r>
                          </w:p>
                          <w:p w14:paraId="0AC74006" w14:textId="5F602DBD" w:rsidR="00EF7212" w:rsidRDefault="00EF721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4D646BC9" id="_x0000_s1027" type="#_x0000_t202" style="position:absolute;left:0;text-align:left;margin-left:0;margin-top:53.85pt;width:462pt;height:116.2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">
                <v:shadow on="t" color="black" opacity="26214f" origin="-.5,-.5" offset=".74836mm,.74836mm"/>
                <v:textbox>
                  <w:txbxContent>
                    <w:p w14:paraId="247616FD" w14:textId="1703EC11" w:rsidR="00EF7212" w:rsidRDefault="00EF7212" w:rsidP="00EF7212">
                      <w:pPr>
                        <w:rPr>
                          <w:b/>
                          <w:szCs w:val="24"/>
                          <w:u w:val="single"/>
                        </w:rPr>
                      </w:pPr>
                      <w:r>
                        <w:rPr>
                          <w:b/>
                          <w:szCs w:val="24"/>
                          <w:u w:val="single"/>
                        </w:rPr>
                        <w:t>TTU Strategic Priority 2</w:t>
                      </w:r>
                      <w:r w:rsidRPr="00291373">
                        <w:rPr>
                          <w:b/>
                          <w:szCs w:val="24"/>
                          <w:u w:val="single"/>
                        </w:rPr>
                        <w:t>:</w:t>
                      </w:r>
                    </w:p>
                    <w:p w14:paraId="615CBA1B" w14:textId="77777777" w:rsidR="00EF7212" w:rsidRPr="001A3923" w:rsidRDefault="00EF7212" w:rsidP="00DB1022">
                      <w:pPr>
                        <w:pStyle w:val="ListParagraph"/>
                        <w:ind w:left="420"/>
                        <w:rPr>
                          <w:b/>
                          <w:color w:val="FF0000"/>
                          <w:szCs w:val="24"/>
                        </w:rPr>
                      </w:pPr>
                      <w:r w:rsidRPr="001A3923">
                        <w:rPr>
                          <w:b/>
                          <w:color w:val="FF0000"/>
                          <w:szCs w:val="24"/>
                        </w:rPr>
                        <w:t>Enable innovative research and creative activities.</w:t>
                      </w:r>
                    </w:p>
                    <w:p w14:paraId="3D5C819D" w14:textId="77777777" w:rsidR="00EF7212" w:rsidRPr="001A3923" w:rsidRDefault="00EF7212" w:rsidP="00EF7212">
                      <w:pPr>
                        <w:pStyle w:val="ListParagraph"/>
                        <w:ind w:left="420"/>
                        <w:rPr>
                          <w:rFonts w:ascii="ITC Charter W01" w:hAnsi="ITC Charter W01"/>
                          <w:i/>
                          <w:color w:val="1B1B1B"/>
                        </w:rPr>
                      </w:pPr>
                      <w:r w:rsidRPr="001A3923">
                        <w:rPr>
                          <w:rFonts w:ascii="ITC Charter W01" w:hAnsi="ITC Charter W01"/>
                          <w:i/>
                          <w:color w:val="1B1B1B"/>
                        </w:rPr>
                        <w:t>We will continue to expand research, scholarship and creative activity to discover and advance knowledge, to improve quality and sustainability of life for the citizens of our state, nation and world, and to support technology transfer and other activities that enhance economies.</w:t>
                      </w:r>
                    </w:p>
                    <w:p w14:paraId="0AC74006" w14:textId="5F602DBD" w:rsidR="00EF7212" w:rsidRDefault="00EF7212"/>
                  </w:txbxContent>
                </v:textbox>
                <w10:wrap type="square" anchorx="margin"/>
              </v:shape>
            </w:pict>
          </mc:Fallback>
        </mc:AlternateContent>
      </w:r>
      <w:r w:rsidR="007A2A93">
        <w:t xml:space="preserve">Provide professional development to faculty and staff to help them better prepare educators </w:t>
      </w:r>
      <w:r w:rsidR="00B72B58">
        <w:t>to create inclusive environments.</w:t>
      </w:r>
    </w:p>
    <w:p w14:paraId="2A3A6C90" w14:textId="77777777" w:rsidR="00B72B58" w:rsidRDefault="00B72B58" w:rsidP="00C51EFD">
      <w:pPr>
        <w:pStyle w:val="NoSpacing"/>
        <w:rPr>
          <w:rFonts w:cs="Times New Roman"/>
          <w:b/>
          <w:sz w:val="28"/>
          <w:szCs w:val="28"/>
          <w:u w:val="single"/>
        </w:rPr>
      </w:pPr>
    </w:p>
    <w:p w14:paraId="134F6DF1" w14:textId="72BFE97F" w:rsidR="00013EE2" w:rsidRDefault="007629C2" w:rsidP="00C51EFD">
      <w:pPr>
        <w:pStyle w:val="NoSpacing"/>
        <w:rPr>
          <w:rStyle w:val="NoSpacingChar"/>
          <w:b/>
        </w:rPr>
      </w:pPr>
      <w:r w:rsidRPr="00442822">
        <w:rPr>
          <w:rFonts w:cs="Times New Roman"/>
          <w:b/>
          <w:sz w:val="28"/>
          <w:szCs w:val="28"/>
          <w:u w:val="single"/>
        </w:rPr>
        <w:lastRenderedPageBreak/>
        <w:t xml:space="preserve">COE </w:t>
      </w:r>
      <w:r w:rsidR="00EF7212" w:rsidRPr="00442822">
        <w:rPr>
          <w:rFonts w:cs="Times New Roman"/>
          <w:b/>
          <w:sz w:val="28"/>
          <w:szCs w:val="28"/>
          <w:u w:val="single"/>
        </w:rPr>
        <w:t>Strategic Goal 2</w:t>
      </w:r>
      <w:r w:rsidRPr="00442822">
        <w:rPr>
          <w:rFonts w:cs="Times New Roman"/>
          <w:b/>
          <w:szCs w:val="24"/>
          <w:u w:val="single"/>
        </w:rPr>
        <w:t>:</w:t>
      </w:r>
      <w:r w:rsidR="00EF7212" w:rsidRPr="00EF7212">
        <w:rPr>
          <w:rStyle w:val="NoSpacingChar"/>
          <w:b/>
        </w:rPr>
        <w:t xml:space="preserve"> </w:t>
      </w:r>
    </w:p>
    <w:p w14:paraId="476D9E81" w14:textId="77777777" w:rsidR="00C51EFD" w:rsidRPr="00C51EFD" w:rsidRDefault="00C51EFD" w:rsidP="00C51EFD">
      <w:pPr>
        <w:pStyle w:val="NoSpacing"/>
        <w:rPr>
          <w:b/>
        </w:rPr>
      </w:pPr>
    </w:p>
    <w:p w14:paraId="1D07F47C" w14:textId="708C5A50" w:rsidR="00F57BBD" w:rsidRPr="00442822" w:rsidRDefault="00933C48" w:rsidP="00F57BBD">
      <w:pPr>
        <w:pStyle w:val="NoSpacing"/>
        <w:rPr>
          <w:i/>
        </w:rPr>
      </w:pPr>
      <w:r w:rsidRPr="00442822">
        <w:rPr>
          <w:rFonts w:eastAsia="Calibri"/>
          <w:i/>
        </w:rPr>
        <w:t xml:space="preserve">The COE will </w:t>
      </w:r>
      <w:r>
        <w:rPr>
          <w:rFonts w:eastAsia="Calibri"/>
          <w:i/>
        </w:rPr>
        <w:t xml:space="preserve">engage in rigorous scholarship including </w:t>
      </w:r>
      <w:r w:rsidRPr="00442822">
        <w:rPr>
          <w:i/>
        </w:rPr>
        <w:t>intervention research as a means to maximize the measured impact of our faculty and graduates in the fields they serve</w:t>
      </w:r>
      <w:r w:rsidR="00125447">
        <w:rPr>
          <w:rFonts w:eastAsia="Calibri"/>
          <w:i/>
        </w:rPr>
        <w:t>.</w:t>
      </w:r>
    </w:p>
    <w:p w14:paraId="553AE82D" w14:textId="77777777" w:rsidR="004F01D4" w:rsidRDefault="004F01D4" w:rsidP="00F57BBD">
      <w:pPr>
        <w:pStyle w:val="NoSpacing"/>
        <w:rPr>
          <w:b/>
        </w:rPr>
      </w:pPr>
    </w:p>
    <w:p w14:paraId="68BDFC81" w14:textId="5B8CCE8F" w:rsidR="00814024" w:rsidRPr="00A4025B" w:rsidRDefault="006F06EA" w:rsidP="006F06EA">
      <w:pPr>
        <w:rPr>
          <w:b/>
          <w:szCs w:val="24"/>
          <w:u w:val="single"/>
        </w:rPr>
      </w:pPr>
      <w:r w:rsidRPr="00291373">
        <w:rPr>
          <w:b/>
          <w:szCs w:val="24"/>
          <w:u w:val="single"/>
        </w:rPr>
        <w:t>Objectives:</w:t>
      </w:r>
    </w:p>
    <w:p w14:paraId="2F37644C" w14:textId="42456F47" w:rsidR="00A77B40" w:rsidRDefault="00A77B40" w:rsidP="00A77B40">
      <w:pPr>
        <w:pStyle w:val="NoSpacing"/>
        <w:ind w:left="720"/>
      </w:pPr>
      <w:r>
        <w:rPr>
          <w:b/>
        </w:rPr>
        <w:t xml:space="preserve">Objective </w:t>
      </w:r>
      <w:r w:rsidR="00013EE2">
        <w:rPr>
          <w:b/>
        </w:rPr>
        <w:t>2</w:t>
      </w:r>
      <w:r>
        <w:rPr>
          <w:b/>
        </w:rPr>
        <w:t xml:space="preserve">.1 </w:t>
      </w:r>
      <w:r w:rsidR="00013EE2">
        <w:rPr>
          <w:b/>
        </w:rPr>
        <w:t>–</w:t>
      </w:r>
      <w:r>
        <w:rPr>
          <w:b/>
        </w:rPr>
        <w:t xml:space="preserve"> </w:t>
      </w:r>
      <w:r w:rsidR="00013EE2">
        <w:rPr>
          <w:b/>
        </w:rPr>
        <w:t xml:space="preserve">External Funding: </w:t>
      </w:r>
      <w:r w:rsidR="00B72B58">
        <w:t>The</w:t>
      </w:r>
      <w:r w:rsidR="00D24664">
        <w:t xml:space="preserve"> COE </w:t>
      </w:r>
      <w:r>
        <w:t xml:space="preserve">will </w:t>
      </w:r>
      <w:r w:rsidR="00E35EC0">
        <w:t>continue to increase its</w:t>
      </w:r>
      <w:r w:rsidR="00CA6733">
        <w:t xml:space="preserve"> annual external funding</w:t>
      </w:r>
      <w:r w:rsidR="0001037D">
        <w:t xml:space="preserve"> </w:t>
      </w:r>
      <w:r w:rsidR="00E35EC0">
        <w:t>including</w:t>
      </w:r>
      <w:r>
        <w:t xml:space="preserve"> </w:t>
      </w:r>
      <w:r w:rsidR="00B72B58">
        <w:t xml:space="preserve">grants supporting </w:t>
      </w:r>
      <w:r>
        <w:t>community</w:t>
      </w:r>
      <w:r w:rsidR="00DB1022">
        <w:t>-</w:t>
      </w:r>
      <w:r w:rsidR="00E35EC0">
        <w:t>engaged</w:t>
      </w:r>
      <w:r w:rsidR="0001037D">
        <w:t xml:space="preserve"> </w:t>
      </w:r>
      <w:r>
        <w:t>collaborations.</w:t>
      </w:r>
    </w:p>
    <w:p w14:paraId="3F8DD95F" w14:textId="77777777" w:rsidR="00265B41" w:rsidRDefault="00265B41" w:rsidP="00B72B58">
      <w:pPr>
        <w:pStyle w:val="NoSpacing"/>
        <w:rPr>
          <w:b/>
        </w:rPr>
      </w:pPr>
    </w:p>
    <w:p w14:paraId="4F9FFBAA" w14:textId="037976E1" w:rsidR="00A8746A" w:rsidRDefault="00013EE2" w:rsidP="00A8746A">
      <w:pPr>
        <w:pStyle w:val="NoSpacing"/>
        <w:ind w:left="720" w:firstLine="360"/>
        <w:rPr>
          <w:b/>
        </w:rPr>
      </w:pPr>
      <w:r>
        <w:rPr>
          <w:b/>
        </w:rPr>
        <w:t xml:space="preserve">Long-Term </w:t>
      </w:r>
      <w:r w:rsidR="00A8746A" w:rsidRPr="00852847">
        <w:rPr>
          <w:b/>
        </w:rPr>
        <w:t>Strategies:</w:t>
      </w:r>
    </w:p>
    <w:p w14:paraId="3C9C9D91" w14:textId="77777777" w:rsidR="00E35EC0" w:rsidRPr="00852847" w:rsidRDefault="00E35EC0" w:rsidP="00A8746A">
      <w:pPr>
        <w:pStyle w:val="NoSpacing"/>
        <w:ind w:left="720" w:firstLine="360"/>
        <w:rPr>
          <w:b/>
        </w:rPr>
      </w:pPr>
    </w:p>
    <w:p w14:paraId="5ED3DE70" w14:textId="551095C5" w:rsidR="00013EE2" w:rsidRDefault="00460582" w:rsidP="00601BB3">
      <w:pPr>
        <w:pStyle w:val="NoSpacing"/>
        <w:numPr>
          <w:ilvl w:val="0"/>
          <w:numId w:val="23"/>
        </w:numPr>
      </w:pPr>
      <w:r>
        <w:t>Support faculty</w:t>
      </w:r>
      <w:r w:rsidR="00DF5A51">
        <w:t xml:space="preserve"> grant writing</w:t>
      </w:r>
      <w:r>
        <w:t xml:space="preserve"> through a variety of college services</w:t>
      </w:r>
      <w:r w:rsidR="008A0C2C">
        <w:t>.</w:t>
      </w:r>
    </w:p>
    <w:p w14:paraId="7941DB83" w14:textId="7EAF571B" w:rsidR="00E35EC0" w:rsidRDefault="00814024" w:rsidP="00E35EC0">
      <w:pPr>
        <w:pStyle w:val="NoSpacing"/>
        <w:numPr>
          <w:ilvl w:val="0"/>
          <w:numId w:val="23"/>
        </w:numPr>
      </w:pPr>
      <w:r>
        <w:t>Expand</w:t>
      </w:r>
      <w:r w:rsidR="00DF5A51">
        <w:t xml:space="preserve"> </w:t>
      </w:r>
      <w:r>
        <w:t>the</w:t>
      </w:r>
      <w:r w:rsidR="00DF5A51">
        <w:t xml:space="preserve"> internal grant </w:t>
      </w:r>
      <w:r w:rsidR="00CA6733">
        <w:t xml:space="preserve">competition </w:t>
      </w:r>
      <w:r w:rsidR="00DF5A51">
        <w:t>for fa</w:t>
      </w:r>
      <w:r>
        <w:t xml:space="preserve">culty to provide seed funding supporting </w:t>
      </w:r>
      <w:r w:rsidR="00DF5A51">
        <w:t xml:space="preserve">research </w:t>
      </w:r>
      <w:r w:rsidR="00B72B58">
        <w:t xml:space="preserve">activity </w:t>
      </w:r>
      <w:r w:rsidR="00DF5A51">
        <w:t>leading to externally funded projects</w:t>
      </w:r>
      <w:r w:rsidR="008A0C2C">
        <w:t>.</w:t>
      </w:r>
    </w:p>
    <w:p w14:paraId="15299B22" w14:textId="5A77A6E1" w:rsidR="008A0C2C" w:rsidRDefault="00E35EC0">
      <w:pPr>
        <w:pStyle w:val="NoSpacing"/>
        <w:numPr>
          <w:ilvl w:val="0"/>
          <w:numId w:val="23"/>
        </w:numPr>
      </w:pPr>
      <w:r>
        <w:t>Increase collaborative partnerships both internally and externally.</w:t>
      </w:r>
    </w:p>
    <w:p w14:paraId="47EF43E6" w14:textId="77777777" w:rsidR="00012258" w:rsidRDefault="00012258" w:rsidP="00A8746A">
      <w:pPr>
        <w:pStyle w:val="NoSpacing"/>
      </w:pPr>
    </w:p>
    <w:p w14:paraId="2AFABC88" w14:textId="02C946D7" w:rsidR="00DB4FFA" w:rsidRPr="00601BB3" w:rsidRDefault="00750D9E" w:rsidP="00601BB3">
      <w:pPr>
        <w:pStyle w:val="NoSpacing"/>
        <w:ind w:left="720"/>
      </w:pPr>
      <w:r>
        <w:rPr>
          <w:b/>
        </w:rPr>
        <w:t xml:space="preserve">Objective </w:t>
      </w:r>
      <w:r w:rsidR="00013EE2">
        <w:rPr>
          <w:b/>
        </w:rPr>
        <w:t>2</w:t>
      </w:r>
      <w:r w:rsidR="00A77B40">
        <w:rPr>
          <w:b/>
        </w:rPr>
        <w:t>.</w:t>
      </w:r>
      <w:r w:rsidR="0001037D">
        <w:rPr>
          <w:b/>
        </w:rPr>
        <w:t>2</w:t>
      </w:r>
      <w:r w:rsidR="00A77B40">
        <w:t xml:space="preserve"> </w:t>
      </w:r>
      <w:r w:rsidR="00013EE2">
        <w:t>–</w:t>
      </w:r>
      <w:r w:rsidR="00A77B40">
        <w:t xml:space="preserve"> </w:t>
      </w:r>
      <w:r w:rsidR="00013EE2" w:rsidRPr="00442822">
        <w:rPr>
          <w:b/>
        </w:rPr>
        <w:t>Publication Rate</w:t>
      </w:r>
      <w:r w:rsidR="00013EE2">
        <w:t xml:space="preserve">: </w:t>
      </w:r>
      <w:r w:rsidR="00B72B58">
        <w:t>T</w:t>
      </w:r>
      <w:r w:rsidR="001174BB">
        <w:t xml:space="preserve">he </w:t>
      </w:r>
      <w:r w:rsidR="00A77B40">
        <w:t>number of publication</w:t>
      </w:r>
      <w:r w:rsidR="007351A6">
        <w:t>s</w:t>
      </w:r>
      <w:r w:rsidR="00D24664">
        <w:t xml:space="preserve"> in the COE</w:t>
      </w:r>
      <w:r w:rsidR="00FC6276">
        <w:t xml:space="preserve"> will increase by 25% from 2018</w:t>
      </w:r>
      <w:r w:rsidR="00A77B40">
        <w:t xml:space="preserve"> levels</w:t>
      </w:r>
      <w:r w:rsidR="004F01D4">
        <w:t xml:space="preserve">.  </w:t>
      </w:r>
    </w:p>
    <w:p w14:paraId="317B4EDB" w14:textId="77777777" w:rsidR="00601BB3" w:rsidRDefault="00601BB3" w:rsidP="00A8746A">
      <w:pPr>
        <w:pStyle w:val="NoSpacing"/>
        <w:ind w:left="720" w:firstLine="360"/>
        <w:rPr>
          <w:b/>
        </w:rPr>
      </w:pPr>
    </w:p>
    <w:p w14:paraId="1895E0F5" w14:textId="068A5EF0" w:rsidR="00A8746A" w:rsidRDefault="00013EE2" w:rsidP="00A8746A">
      <w:pPr>
        <w:pStyle w:val="NoSpacing"/>
        <w:ind w:left="720" w:firstLine="360"/>
        <w:rPr>
          <w:b/>
        </w:rPr>
      </w:pPr>
      <w:r>
        <w:rPr>
          <w:b/>
        </w:rPr>
        <w:t xml:space="preserve">Long-Term </w:t>
      </w:r>
      <w:r w:rsidR="00A8746A" w:rsidRPr="00852847">
        <w:rPr>
          <w:b/>
        </w:rPr>
        <w:t>Strategies:</w:t>
      </w:r>
    </w:p>
    <w:p w14:paraId="5250E18E" w14:textId="77777777" w:rsidR="00E35EC0" w:rsidRPr="00852847" w:rsidRDefault="00E35EC0" w:rsidP="00A8746A">
      <w:pPr>
        <w:pStyle w:val="NoSpacing"/>
        <w:ind w:left="720" w:firstLine="360"/>
        <w:rPr>
          <w:b/>
        </w:rPr>
      </w:pPr>
    </w:p>
    <w:p w14:paraId="14B533A1" w14:textId="74D3E64D" w:rsidR="00E35EC0" w:rsidRPr="00601BB3" w:rsidRDefault="00AD595A" w:rsidP="00601BB3">
      <w:pPr>
        <w:pStyle w:val="NoSpacing"/>
        <w:numPr>
          <w:ilvl w:val="0"/>
          <w:numId w:val="23"/>
        </w:numPr>
        <w:rPr>
          <w:rFonts w:eastAsia="Calibri" w:cs="Times New Roman"/>
          <w:color w:val="000000"/>
          <w:szCs w:val="24"/>
        </w:rPr>
      </w:pPr>
      <w:r>
        <w:t xml:space="preserve">Elevate attention regarding </w:t>
      </w:r>
      <w:r w:rsidR="00DF5A51">
        <w:t xml:space="preserve">number, scope, and quality of </w:t>
      </w:r>
      <w:r>
        <w:t>faculty publication in annual reviews</w:t>
      </w:r>
      <w:r w:rsidR="00013EE2">
        <w:t xml:space="preserve"> and merit pay decisions</w:t>
      </w:r>
      <w:r>
        <w:t>.</w:t>
      </w:r>
    </w:p>
    <w:p w14:paraId="0568E08D" w14:textId="37193464" w:rsidR="00E35EC0" w:rsidRPr="00601BB3" w:rsidRDefault="00460582" w:rsidP="00E35EC0">
      <w:pPr>
        <w:pStyle w:val="NoSpacing"/>
        <w:numPr>
          <w:ilvl w:val="0"/>
          <w:numId w:val="23"/>
        </w:numPr>
        <w:rPr>
          <w:rFonts w:eastAsia="Calibri" w:cs="Times New Roman"/>
          <w:color w:val="000000"/>
          <w:szCs w:val="24"/>
        </w:rPr>
      </w:pPr>
      <w:r>
        <w:t>Offer</w:t>
      </w:r>
      <w:r w:rsidR="00013EE2">
        <w:t xml:space="preserve"> faculty editorial support through contracting with two professional editors. </w:t>
      </w:r>
    </w:p>
    <w:p w14:paraId="28CEA01B" w14:textId="364BA35B" w:rsidR="00460582" w:rsidRPr="00601BB3" w:rsidRDefault="00013EE2" w:rsidP="00460582">
      <w:pPr>
        <w:pStyle w:val="NoSpacing"/>
        <w:numPr>
          <w:ilvl w:val="0"/>
          <w:numId w:val="23"/>
        </w:numPr>
        <w:rPr>
          <w:rFonts w:eastAsia="Calibri" w:cs="Times New Roman"/>
          <w:color w:val="000000"/>
          <w:szCs w:val="24"/>
        </w:rPr>
      </w:pPr>
      <w:r>
        <w:t>Increase faculty professional development stipends t</w:t>
      </w:r>
      <w:r w:rsidR="00E35EC0">
        <w:t>o support presenting research at</w:t>
      </w:r>
      <w:r>
        <w:t xml:space="preserve"> </w:t>
      </w:r>
      <w:r w:rsidR="008A0C2C">
        <w:t>conferences.</w:t>
      </w:r>
    </w:p>
    <w:p w14:paraId="2B8ACB06" w14:textId="70CD09A8" w:rsidR="00814024" w:rsidRPr="00814024" w:rsidRDefault="00814024" w:rsidP="00814024">
      <w:pPr>
        <w:pStyle w:val="NoSpacing"/>
        <w:numPr>
          <w:ilvl w:val="0"/>
          <w:numId w:val="23"/>
        </w:numPr>
      </w:pPr>
      <w:r>
        <w:t>Grow graduate student and faculty publication rates</w:t>
      </w:r>
      <w:r w:rsidR="000F056E">
        <w:t xml:space="preserve"> through a variety of activities promoting writing</w:t>
      </w:r>
      <w:r>
        <w:t>.</w:t>
      </w:r>
    </w:p>
    <w:p w14:paraId="75CD818F" w14:textId="630EED0E" w:rsidR="00013EE2" w:rsidRDefault="00EF7212" w:rsidP="00442822">
      <w:pPr>
        <w:pStyle w:val="NoSpacing"/>
        <w:ind w:left="1080"/>
        <w:rPr>
          <w:rFonts w:eastAsia="Calibri" w:cs="Times New Roman"/>
          <w:color w:val="000000"/>
          <w:szCs w:val="24"/>
        </w:rPr>
      </w:pPr>
      <w:r w:rsidRPr="00EF7212">
        <w:rPr>
          <w:rFonts w:eastAsia="Calibri" w:cs="Times New Roman"/>
          <w:noProof/>
          <w:color w:val="000000"/>
          <w:szCs w:val="24"/>
        </w:rPr>
        <mc:AlternateContent>
          <mc:Choice Requires="wps">
            <w:drawing>
              <wp:anchor distT="45720" distB="45720" distL="114300" distR="114300" simplePos="0" relativeHeight="251663360" behindDoc="0" locked="0" layoutInCell="1" allowOverlap="1" wp14:anchorId="4BA033D4" wp14:editId="7532E44F">
                <wp:simplePos x="0" y="0"/>
                <wp:positionH relativeFrom="column">
                  <wp:posOffset>104775</wp:posOffset>
                </wp:positionH>
                <wp:positionV relativeFrom="paragraph">
                  <wp:posOffset>321945</wp:posOffset>
                </wp:positionV>
                <wp:extent cx="5605780" cy="1371600"/>
                <wp:effectExtent l="38100" t="38100" r="109220" b="11430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5780" cy="1371600"/>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14:paraId="0F0B9A4B" w14:textId="38FF3712" w:rsidR="00EF7212" w:rsidRDefault="00EF7212" w:rsidP="00EF7212">
                            <w:pPr>
                              <w:rPr>
                                <w:b/>
                                <w:szCs w:val="24"/>
                                <w:u w:val="single"/>
                              </w:rPr>
                            </w:pPr>
                            <w:r>
                              <w:rPr>
                                <w:b/>
                                <w:szCs w:val="24"/>
                                <w:u w:val="single"/>
                              </w:rPr>
                              <w:t>TTU Strategic Priority 3:</w:t>
                            </w:r>
                          </w:p>
                          <w:p w14:paraId="1376BB65" w14:textId="77777777" w:rsidR="00D02D53" w:rsidRDefault="00EF7212" w:rsidP="00DB1022">
                            <w:pPr>
                              <w:pStyle w:val="ListParagraph"/>
                              <w:ind w:left="420"/>
                              <w:rPr>
                                <w:b/>
                                <w:color w:val="FF0000"/>
                                <w:szCs w:val="24"/>
                              </w:rPr>
                            </w:pPr>
                            <w:r w:rsidRPr="001A3923">
                              <w:rPr>
                                <w:b/>
                                <w:color w:val="FF0000"/>
                                <w:szCs w:val="24"/>
                              </w:rPr>
                              <w:t>Transform lives and communities through strategic outreach and engaged scholarship.</w:t>
                            </w:r>
                          </w:p>
                          <w:p w14:paraId="681D3D47" w14:textId="25D1B8F0" w:rsidR="00EF7212" w:rsidRPr="00442822" w:rsidRDefault="00D02D53" w:rsidP="00442822">
                            <w:pPr>
                              <w:pStyle w:val="ListParagraph"/>
                              <w:ind w:left="420"/>
                              <w:rPr>
                                <w:b/>
                                <w:i/>
                                <w:color w:val="FF0000"/>
                                <w:szCs w:val="24"/>
                              </w:rPr>
                            </w:pPr>
                            <w:r w:rsidRPr="00442822">
                              <w:rPr>
                                <w:rFonts w:ascii="ITC Charter W01" w:hAnsi="ITC Charter W01"/>
                                <w:i/>
                                <w:color w:val="1B1B1B"/>
                              </w:rPr>
                              <w:t>We will partner with our local, regional, national, and global communities to stimulate creativity, innovation, and s</w:t>
                            </w:r>
                            <w:r w:rsidR="00442822" w:rsidRPr="00442822">
                              <w:rPr>
                                <w:rFonts w:ascii="ITC Charter W01" w:hAnsi="ITC Charter W01"/>
                                <w:i/>
                                <w:color w:val="1B1B1B"/>
                              </w:rPr>
                              <w:t>ocial and economic development</w:t>
                            </w:r>
                            <w:r w:rsidR="00442822">
                              <w:rPr>
                                <w:rFonts w:ascii="ITC Charter W01" w:hAnsi="ITC Charter W01"/>
                                <w:i/>
                                <w:color w:val="1B1B1B"/>
                              </w:rPr>
                              <w:t>—</w:t>
                            </w:r>
                            <w:r w:rsidRPr="00442822">
                              <w:rPr>
                                <w:rFonts w:ascii="ITC Charter W01" w:hAnsi="ITC Charter W01"/>
                                <w:i/>
                                <w:color w:val="1B1B1B"/>
                              </w:rPr>
                              <w:t>working together to solve the complex problems facing people and communities.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4BA033D4" id="_x0000_s1028" type="#_x0000_t202" style="position:absolute;left:0;text-align:left;margin-left:8.25pt;margin-top:25.35pt;width:441.4pt;height:108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">
                <v:shadow on="t" color="black" opacity="26214f" origin="-.5,-.5" offset=".74836mm,.74836mm"/>
                <v:textbox>
                  <w:txbxContent>
                    <w:p w14:paraId="0F0B9A4B" w14:textId="38FF3712" w:rsidR="00EF7212" w:rsidRDefault="00EF7212" w:rsidP="00EF7212">
                      <w:pPr>
                        <w:rPr>
                          <w:b/>
                          <w:szCs w:val="24"/>
                          <w:u w:val="single"/>
                        </w:rPr>
                      </w:pPr>
                      <w:r>
                        <w:rPr>
                          <w:b/>
                          <w:szCs w:val="24"/>
                          <w:u w:val="single"/>
                        </w:rPr>
                        <w:t>TTU Strategic Priority 3:</w:t>
                      </w:r>
                    </w:p>
                    <w:p w14:paraId="1376BB65" w14:textId="77777777" w:rsidR="00D02D53" w:rsidRDefault="00EF7212" w:rsidP="00DB1022">
                      <w:pPr>
                        <w:pStyle w:val="ListParagraph"/>
                        <w:ind w:left="420"/>
                        <w:rPr>
                          <w:b/>
                          <w:color w:val="FF0000"/>
                          <w:szCs w:val="24"/>
                        </w:rPr>
                      </w:pPr>
                      <w:r w:rsidRPr="001A3923">
                        <w:rPr>
                          <w:b/>
                          <w:color w:val="FF0000"/>
                          <w:szCs w:val="24"/>
                        </w:rPr>
                        <w:t>Transform lives and communities through strategic outreach and engaged scholarship.</w:t>
                      </w:r>
                    </w:p>
                    <w:p w14:paraId="681D3D47" w14:textId="25D1B8F0" w:rsidR="00EF7212" w:rsidRPr="00442822" w:rsidRDefault="00D02D53" w:rsidP="00442822">
                      <w:pPr>
                        <w:pStyle w:val="ListParagraph"/>
                        <w:ind w:left="420"/>
                        <w:rPr>
                          <w:b/>
                          <w:i/>
                          <w:color w:val="FF0000"/>
                          <w:szCs w:val="24"/>
                        </w:rPr>
                      </w:pPr>
                      <w:r w:rsidRPr="00442822">
                        <w:rPr>
                          <w:rFonts w:ascii="ITC Charter W01" w:hAnsi="ITC Charter W01"/>
                          <w:i/>
                          <w:color w:val="1B1B1B"/>
                        </w:rPr>
                        <w:t xml:space="preserve">We will </w:t>
                      </w:r>
                      <w:proofErr w:type="gramStart"/>
                      <w:r w:rsidRPr="00442822">
                        <w:rPr>
                          <w:rFonts w:ascii="ITC Charter W01" w:hAnsi="ITC Charter W01"/>
                          <w:i/>
                          <w:color w:val="1B1B1B"/>
                        </w:rPr>
                        <w:t>partner</w:t>
                      </w:r>
                      <w:proofErr w:type="gramEnd"/>
                      <w:r w:rsidRPr="00442822">
                        <w:rPr>
                          <w:rFonts w:ascii="ITC Charter W01" w:hAnsi="ITC Charter W01"/>
                          <w:i/>
                          <w:color w:val="1B1B1B"/>
                        </w:rPr>
                        <w:t xml:space="preserve"> with our local, regional, national, and global communities to stimulate creativity, innovation, and s</w:t>
                      </w:r>
                      <w:r w:rsidR="00442822" w:rsidRPr="00442822">
                        <w:rPr>
                          <w:rFonts w:ascii="ITC Charter W01" w:hAnsi="ITC Charter W01"/>
                          <w:i/>
                          <w:color w:val="1B1B1B"/>
                        </w:rPr>
                        <w:t>ocial and economic development</w:t>
                      </w:r>
                      <w:r w:rsidR="00442822">
                        <w:rPr>
                          <w:rFonts w:ascii="ITC Charter W01" w:hAnsi="ITC Charter W01"/>
                          <w:i/>
                          <w:color w:val="1B1B1B"/>
                        </w:rPr>
                        <w:t>—</w:t>
                      </w:r>
                      <w:r w:rsidRPr="00442822">
                        <w:rPr>
                          <w:rFonts w:ascii="ITC Charter W01" w:hAnsi="ITC Charter W01"/>
                          <w:i/>
                          <w:color w:val="1B1B1B"/>
                        </w:rPr>
                        <w:t>working together to solve the complex problems facing people and communities.</w:t>
                      </w:r>
                    </w:p>
                  </w:txbxContent>
                </v:textbox>
                <w10:wrap type="square"/>
              </v:shape>
            </w:pict>
          </mc:Fallback>
        </mc:AlternateContent>
      </w:r>
    </w:p>
    <w:p w14:paraId="1C9A4CDA" w14:textId="77777777" w:rsidR="00CE6B94" w:rsidRDefault="007629C2" w:rsidP="007629C2">
      <w:pPr>
        <w:pStyle w:val="NoSpacing"/>
        <w:rPr>
          <w:rStyle w:val="NoSpacingChar"/>
          <w:b/>
        </w:rPr>
      </w:pPr>
      <w:r w:rsidRPr="00442822">
        <w:rPr>
          <w:rFonts w:cs="Times New Roman"/>
          <w:b/>
          <w:sz w:val="28"/>
          <w:szCs w:val="28"/>
          <w:u w:val="single"/>
        </w:rPr>
        <w:t xml:space="preserve">COE </w:t>
      </w:r>
      <w:r w:rsidR="00EF7212" w:rsidRPr="00442822">
        <w:rPr>
          <w:rFonts w:cs="Times New Roman"/>
          <w:b/>
          <w:sz w:val="28"/>
          <w:szCs w:val="28"/>
          <w:u w:val="single"/>
        </w:rPr>
        <w:t>Strategic Goal 3</w:t>
      </w:r>
      <w:r w:rsidRPr="00442822">
        <w:rPr>
          <w:rFonts w:cs="Times New Roman"/>
          <w:b/>
          <w:szCs w:val="24"/>
          <w:u w:val="single"/>
        </w:rPr>
        <w:t>:</w:t>
      </w:r>
      <w:r w:rsidR="00EF7212" w:rsidRPr="00EF7212">
        <w:rPr>
          <w:rStyle w:val="NoSpacingChar"/>
          <w:b/>
        </w:rPr>
        <w:t xml:space="preserve"> </w:t>
      </w:r>
    </w:p>
    <w:p w14:paraId="0F823361" w14:textId="5E94E360" w:rsidR="00013EE2" w:rsidRPr="00442822" w:rsidRDefault="00013EE2" w:rsidP="00442822">
      <w:pPr>
        <w:pStyle w:val="NoSpacing"/>
        <w:rPr>
          <w:rFonts w:eastAsia="Calibri" w:cs="Times New Roman"/>
          <w:color w:val="000000"/>
          <w:szCs w:val="24"/>
        </w:rPr>
      </w:pPr>
    </w:p>
    <w:p w14:paraId="109832E9" w14:textId="79CD89F0" w:rsidR="00A75456" w:rsidRPr="00442822" w:rsidRDefault="00A75456" w:rsidP="00A75456">
      <w:pPr>
        <w:pStyle w:val="NoSpacing"/>
        <w:rPr>
          <w:rFonts w:cs="Times New Roman"/>
          <w:b/>
          <w:i/>
        </w:rPr>
      </w:pPr>
      <w:r w:rsidRPr="00442822">
        <w:rPr>
          <w:i/>
        </w:rPr>
        <w:t xml:space="preserve">The COE will </w:t>
      </w:r>
      <w:r w:rsidR="00601BB3">
        <w:rPr>
          <w:i/>
        </w:rPr>
        <w:t>join</w:t>
      </w:r>
      <w:r w:rsidRPr="00442822">
        <w:rPr>
          <w:i/>
        </w:rPr>
        <w:t xml:space="preserve"> with school, agency, and community partners </w:t>
      </w:r>
      <w:r w:rsidR="00E35EC0">
        <w:rPr>
          <w:i/>
        </w:rPr>
        <w:t>to</w:t>
      </w:r>
      <w:r w:rsidRPr="00442822">
        <w:rPr>
          <w:i/>
        </w:rPr>
        <w:t xml:space="preserve"> </w:t>
      </w:r>
      <w:r w:rsidR="000E4855">
        <w:rPr>
          <w:i/>
        </w:rPr>
        <w:t xml:space="preserve">work together to </w:t>
      </w:r>
      <w:r w:rsidR="005E1949">
        <w:rPr>
          <w:i/>
        </w:rPr>
        <w:t>address</w:t>
      </w:r>
      <w:r w:rsidR="000E4855">
        <w:rPr>
          <w:i/>
        </w:rPr>
        <w:t xml:space="preserve"> significant problems facing our world today.</w:t>
      </w:r>
    </w:p>
    <w:p w14:paraId="07A976DA" w14:textId="5F6A4DA9" w:rsidR="00A75456" w:rsidRPr="00442822" w:rsidRDefault="00A75456" w:rsidP="00442822">
      <w:pPr>
        <w:rPr>
          <w:b/>
          <w:szCs w:val="24"/>
          <w:u w:val="single"/>
        </w:rPr>
      </w:pPr>
    </w:p>
    <w:p w14:paraId="0B413D33" w14:textId="77777777" w:rsidR="00A75456" w:rsidRPr="00442822" w:rsidRDefault="00A75456" w:rsidP="00442822">
      <w:pPr>
        <w:rPr>
          <w:b/>
          <w:szCs w:val="24"/>
          <w:u w:val="single"/>
        </w:rPr>
      </w:pPr>
      <w:r w:rsidRPr="00442822">
        <w:rPr>
          <w:b/>
          <w:szCs w:val="24"/>
          <w:u w:val="single"/>
        </w:rPr>
        <w:lastRenderedPageBreak/>
        <w:t>Objectives:</w:t>
      </w:r>
    </w:p>
    <w:p w14:paraId="60D58340" w14:textId="7F6B7CD9" w:rsidR="00A75456" w:rsidRPr="00DA7EEB" w:rsidRDefault="00A75456" w:rsidP="00A75456">
      <w:pPr>
        <w:pStyle w:val="NoSpacing"/>
        <w:ind w:left="720"/>
      </w:pPr>
      <w:r w:rsidRPr="00E833CE">
        <w:rPr>
          <w:b/>
        </w:rPr>
        <w:t xml:space="preserve">Objective </w:t>
      </w:r>
      <w:r w:rsidR="00601BB3">
        <w:rPr>
          <w:b/>
        </w:rPr>
        <w:t>3</w:t>
      </w:r>
      <w:r>
        <w:rPr>
          <w:b/>
        </w:rPr>
        <w:t>.</w:t>
      </w:r>
      <w:r w:rsidRPr="00E833CE">
        <w:rPr>
          <w:b/>
        </w:rPr>
        <w:t>1 –</w:t>
      </w:r>
      <w:r>
        <w:rPr>
          <w:b/>
        </w:rPr>
        <w:t xml:space="preserve"> </w:t>
      </w:r>
      <w:r w:rsidR="005F62D5">
        <w:rPr>
          <w:b/>
        </w:rPr>
        <w:t xml:space="preserve">Community Engaged Scholarship: </w:t>
      </w:r>
      <w:r w:rsidR="000F056E">
        <w:t>C</w:t>
      </w:r>
      <w:r>
        <w:t>onduct</w:t>
      </w:r>
      <w:r w:rsidRPr="00DA7EEB">
        <w:t xml:space="preserve"> undergraduate and graduate-level programming, research and service </w:t>
      </w:r>
      <w:r w:rsidR="00125447">
        <w:t xml:space="preserve">with community, agency, </w:t>
      </w:r>
      <w:r w:rsidR="000F056E">
        <w:t>and</w:t>
      </w:r>
      <w:r w:rsidR="00125447">
        <w:t xml:space="preserve"> school</w:t>
      </w:r>
      <w:r>
        <w:t xml:space="preserve"> partner</w:t>
      </w:r>
      <w:r w:rsidR="00125447">
        <w:t>s</w:t>
      </w:r>
      <w:r>
        <w:t xml:space="preserve"> </w:t>
      </w:r>
      <w:r w:rsidRPr="00DA7EEB">
        <w:t>across Texas</w:t>
      </w:r>
      <w:r w:rsidR="000F056E">
        <w:t xml:space="preserve"> and the nation</w:t>
      </w:r>
      <w:r w:rsidRPr="00DA7EEB">
        <w:t>.</w:t>
      </w:r>
    </w:p>
    <w:p w14:paraId="7A191127" w14:textId="77777777" w:rsidR="00A75456" w:rsidRDefault="00A75456" w:rsidP="00A75456">
      <w:pPr>
        <w:pStyle w:val="NoSpacing"/>
        <w:ind w:left="720"/>
      </w:pPr>
    </w:p>
    <w:p w14:paraId="2EB3FC61" w14:textId="71C6F805" w:rsidR="00A75456" w:rsidRDefault="005F62D5" w:rsidP="00A75456">
      <w:pPr>
        <w:pStyle w:val="NoSpacing"/>
        <w:ind w:left="720" w:firstLine="360"/>
        <w:rPr>
          <w:b/>
        </w:rPr>
      </w:pPr>
      <w:r>
        <w:rPr>
          <w:b/>
        </w:rPr>
        <w:t xml:space="preserve">Long-Term </w:t>
      </w:r>
      <w:r w:rsidR="00A75456" w:rsidRPr="00852847">
        <w:rPr>
          <w:b/>
        </w:rPr>
        <w:t>Strategies:</w:t>
      </w:r>
    </w:p>
    <w:p w14:paraId="5E4AD573" w14:textId="77777777" w:rsidR="005E1949" w:rsidRPr="00852847" w:rsidRDefault="005E1949" w:rsidP="00A75456">
      <w:pPr>
        <w:pStyle w:val="NoSpacing"/>
        <w:ind w:left="720" w:firstLine="360"/>
        <w:rPr>
          <w:b/>
        </w:rPr>
      </w:pPr>
    </w:p>
    <w:p w14:paraId="6FA9004B" w14:textId="2A07E76D" w:rsidR="000E4855" w:rsidRDefault="005F62D5" w:rsidP="00601BB3">
      <w:pPr>
        <w:pStyle w:val="NoSpacing"/>
        <w:numPr>
          <w:ilvl w:val="0"/>
          <w:numId w:val="18"/>
        </w:numPr>
      </w:pPr>
      <w:r>
        <w:t>B</w:t>
      </w:r>
      <w:r w:rsidR="00A75456">
        <w:t xml:space="preserve">uild </w:t>
      </w:r>
      <w:r w:rsidR="000E4855">
        <w:t>responsive undergraduate and</w:t>
      </w:r>
      <w:r w:rsidR="00A75456">
        <w:t xml:space="preserve"> gradu</w:t>
      </w:r>
      <w:r w:rsidR="000E4855">
        <w:t>ate-level partnerships</w:t>
      </w:r>
      <w:r w:rsidR="000F056E">
        <w:t xml:space="preserve"> supported by professional development</w:t>
      </w:r>
      <w:r w:rsidR="00A75456">
        <w:t>.</w:t>
      </w:r>
    </w:p>
    <w:p w14:paraId="4004275D" w14:textId="1DE3F3E1" w:rsidR="005F62D5" w:rsidRDefault="00A75456" w:rsidP="00601BB3">
      <w:pPr>
        <w:pStyle w:val="NoSpacing"/>
        <w:numPr>
          <w:ilvl w:val="0"/>
          <w:numId w:val="18"/>
        </w:numPr>
      </w:pPr>
      <w:r>
        <w:t xml:space="preserve">Develop </w:t>
      </w:r>
      <w:r w:rsidR="000F056E">
        <w:t>collaborative</w:t>
      </w:r>
      <w:r>
        <w:t xml:space="preserve"> academic programs with </w:t>
      </w:r>
      <w:r w:rsidR="000F056E">
        <w:t xml:space="preserve">school districts, </w:t>
      </w:r>
      <w:r>
        <w:t xml:space="preserve">community college systems </w:t>
      </w:r>
      <w:r w:rsidR="000F056E">
        <w:t xml:space="preserve">and other entities </w:t>
      </w:r>
      <w:r>
        <w:t>across the state of Texas.</w:t>
      </w:r>
    </w:p>
    <w:p w14:paraId="6489BDDE" w14:textId="454AF19C" w:rsidR="00091FD0" w:rsidRDefault="00091FD0" w:rsidP="00442822">
      <w:pPr>
        <w:pStyle w:val="NoSpacing"/>
        <w:numPr>
          <w:ilvl w:val="0"/>
          <w:numId w:val="32"/>
        </w:numPr>
      </w:pPr>
      <w:r>
        <w:t>Update the COE P&amp;T document to include community engaged scholarship exemplars.</w:t>
      </w:r>
    </w:p>
    <w:p w14:paraId="2589114E" w14:textId="77777777" w:rsidR="00A75456" w:rsidRDefault="00A75456" w:rsidP="00A75456">
      <w:pPr>
        <w:pStyle w:val="NoSpacing"/>
      </w:pPr>
    </w:p>
    <w:p w14:paraId="1669A4E5" w14:textId="16D7F261" w:rsidR="00A75456" w:rsidRDefault="00A75456" w:rsidP="00A75456">
      <w:pPr>
        <w:pStyle w:val="NoSpacing"/>
        <w:ind w:left="720"/>
      </w:pPr>
      <w:r>
        <w:rPr>
          <w:b/>
        </w:rPr>
        <w:t xml:space="preserve">Objective </w:t>
      </w:r>
      <w:r w:rsidR="00601BB3">
        <w:rPr>
          <w:b/>
        </w:rPr>
        <w:t>3</w:t>
      </w:r>
      <w:r>
        <w:rPr>
          <w:b/>
        </w:rPr>
        <w:t>.</w:t>
      </w:r>
      <w:r w:rsidR="000E4855">
        <w:rPr>
          <w:b/>
        </w:rPr>
        <w:t>2</w:t>
      </w:r>
      <w:r w:rsidRPr="00E833CE">
        <w:rPr>
          <w:b/>
        </w:rPr>
        <w:t xml:space="preserve"> –</w:t>
      </w:r>
      <w:r>
        <w:rPr>
          <w:b/>
        </w:rPr>
        <w:t xml:space="preserve"> </w:t>
      </w:r>
      <w:r w:rsidR="00091FD0">
        <w:rPr>
          <w:b/>
        </w:rPr>
        <w:t xml:space="preserve">Grant Development: </w:t>
      </w:r>
      <w:r w:rsidR="000E4855">
        <w:t>Encourage</w:t>
      </w:r>
      <w:r w:rsidRPr="00840832">
        <w:t xml:space="preserve"> </w:t>
      </w:r>
      <w:r>
        <w:t xml:space="preserve">strategic outreach, </w:t>
      </w:r>
      <w:r w:rsidRPr="00840832">
        <w:t>community engagement</w:t>
      </w:r>
      <w:r>
        <w:t>, and engaged scholarship</w:t>
      </w:r>
      <w:r w:rsidRPr="00840832">
        <w:t xml:space="preserve"> </w:t>
      </w:r>
      <w:r w:rsidR="000E4855">
        <w:t xml:space="preserve">in </w:t>
      </w:r>
      <w:r w:rsidR="00125447">
        <w:t>COE</w:t>
      </w:r>
      <w:r w:rsidR="00091FD0">
        <w:t xml:space="preserve"> </w:t>
      </w:r>
      <w:r w:rsidRPr="00840832">
        <w:t>external grant pursuit.</w:t>
      </w:r>
    </w:p>
    <w:p w14:paraId="6DE7AA93" w14:textId="77777777" w:rsidR="00A75456" w:rsidRDefault="00A75456" w:rsidP="00A75456">
      <w:pPr>
        <w:pStyle w:val="NoSpacing"/>
        <w:ind w:left="720"/>
      </w:pPr>
    </w:p>
    <w:p w14:paraId="6B87AAE2" w14:textId="7EDCC5A3" w:rsidR="00A75456" w:rsidRDefault="00091FD0" w:rsidP="00A75456">
      <w:pPr>
        <w:pStyle w:val="NoSpacing"/>
        <w:ind w:left="720" w:firstLine="360"/>
        <w:rPr>
          <w:b/>
        </w:rPr>
      </w:pPr>
      <w:r>
        <w:rPr>
          <w:b/>
        </w:rPr>
        <w:t xml:space="preserve">Long-Term </w:t>
      </w:r>
      <w:r w:rsidR="00A75456" w:rsidRPr="00852847">
        <w:rPr>
          <w:b/>
        </w:rPr>
        <w:t>Strategies:</w:t>
      </w:r>
    </w:p>
    <w:p w14:paraId="3D8BF858" w14:textId="77777777" w:rsidR="000E4855" w:rsidRPr="00852847" w:rsidRDefault="000E4855" w:rsidP="00A75456">
      <w:pPr>
        <w:pStyle w:val="NoSpacing"/>
        <w:ind w:left="720" w:firstLine="360"/>
        <w:rPr>
          <w:b/>
        </w:rPr>
      </w:pPr>
    </w:p>
    <w:p w14:paraId="0F6A1386" w14:textId="33A708C3" w:rsidR="000E4855" w:rsidRDefault="000F056E" w:rsidP="00601BB3">
      <w:pPr>
        <w:pStyle w:val="NoSpacing"/>
        <w:numPr>
          <w:ilvl w:val="0"/>
          <w:numId w:val="21"/>
        </w:numPr>
      </w:pPr>
      <w:r>
        <w:t>Pursue</w:t>
      </w:r>
      <w:r w:rsidR="00A75456">
        <w:t xml:space="preserve"> large-scale community improvement </w:t>
      </w:r>
      <w:r>
        <w:t xml:space="preserve">grants </w:t>
      </w:r>
      <w:r w:rsidR="00A75456">
        <w:t>(e.g., “Promise Neighborhood”) and other external funding sources for our partner</w:t>
      </w:r>
      <w:r w:rsidR="00125447">
        <w:t>s</w:t>
      </w:r>
      <w:r w:rsidR="00A75456">
        <w:t xml:space="preserve"> across Texas.</w:t>
      </w:r>
    </w:p>
    <w:p w14:paraId="75AAE781" w14:textId="2B9953FA" w:rsidR="00091FD0" w:rsidRDefault="00460582" w:rsidP="00601BB3">
      <w:pPr>
        <w:pStyle w:val="NoSpacing"/>
        <w:numPr>
          <w:ilvl w:val="0"/>
          <w:numId w:val="21"/>
        </w:numPr>
      </w:pPr>
      <w:r>
        <w:t>Identify</w:t>
      </w:r>
      <w:r w:rsidR="000E4855">
        <w:t xml:space="preserve"> opportunities for</w:t>
      </w:r>
      <w:r w:rsidR="00A75456">
        <w:t xml:space="preserve"> faculty to create and seek external funding for community-engaged projects.</w:t>
      </w:r>
    </w:p>
    <w:p w14:paraId="17B6C9E7" w14:textId="2BC71E81" w:rsidR="00A75456" w:rsidRPr="00601BB3" w:rsidRDefault="00091FD0" w:rsidP="00601BB3">
      <w:pPr>
        <w:pStyle w:val="NoSpacing"/>
        <w:numPr>
          <w:ilvl w:val="0"/>
          <w:numId w:val="32"/>
        </w:numPr>
      </w:pPr>
      <w:r>
        <w:t xml:space="preserve">Offer workshops </w:t>
      </w:r>
      <w:r w:rsidR="00125447">
        <w:t>concerning the cultivation of</w:t>
      </w:r>
      <w:r>
        <w:t xml:space="preserve"> partnerships through grant writing.</w:t>
      </w:r>
    </w:p>
    <w:sectPr w:rsidR="00A75456" w:rsidRPr="00601BB3" w:rsidSect="00385CD8">
      <w:headerReference w:type="default" r:id="rId10"/>
      <w:footerReference w:type="even" r:id="rId11"/>
      <w:footerReference w:type="default" r:id="rId12"/>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12FB72" w14:textId="77777777" w:rsidR="00795DEE" w:rsidRDefault="00795DEE">
      <w:pPr>
        <w:spacing w:after="0" w:line="240" w:lineRule="auto"/>
      </w:pPr>
      <w:r>
        <w:separator/>
      </w:r>
    </w:p>
  </w:endnote>
  <w:endnote w:type="continuationSeparator" w:id="0">
    <w:p w14:paraId="4820606C" w14:textId="77777777" w:rsidR="00795DEE" w:rsidRDefault="00795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ITC Charter W01">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2362E2" w14:textId="77777777" w:rsidR="00012258" w:rsidRDefault="00012258" w:rsidP="00FD7B6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806EB1" w14:textId="77777777" w:rsidR="00012258" w:rsidRDefault="00012258" w:rsidP="0001225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834CC7" w14:textId="488EB943" w:rsidR="00012258" w:rsidRDefault="00012258" w:rsidP="00FD7B6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B52B0">
      <w:rPr>
        <w:rStyle w:val="PageNumber"/>
        <w:noProof/>
      </w:rPr>
      <w:t>4</w:t>
    </w:r>
    <w:r>
      <w:rPr>
        <w:rStyle w:val="PageNumber"/>
      </w:rPr>
      <w:fldChar w:fldCharType="end"/>
    </w:r>
  </w:p>
  <w:p w14:paraId="70CA148D" w14:textId="77777777" w:rsidR="00012258" w:rsidRDefault="00012258" w:rsidP="0001225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9BEEC3" w14:textId="77777777" w:rsidR="00795DEE" w:rsidRDefault="00795DEE">
      <w:pPr>
        <w:spacing w:after="0" w:line="240" w:lineRule="auto"/>
      </w:pPr>
      <w:r>
        <w:separator/>
      </w:r>
    </w:p>
  </w:footnote>
  <w:footnote w:type="continuationSeparator" w:id="0">
    <w:p w14:paraId="699B7441" w14:textId="77777777" w:rsidR="00795DEE" w:rsidRDefault="00795D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CF3AA5" w14:textId="57EB621C" w:rsidR="0041495E" w:rsidRDefault="0041495E" w:rsidP="00442822">
    <w:pPr>
      <w:pStyle w:val="Header"/>
      <w:shd w:val="clear" w:color="auto" w:fill="000000" w:themeFill="text1"/>
      <w:jc w:val="right"/>
    </w:pPr>
    <w:r>
      <w:t>COE Strategic Plan, 2018-2025</w:t>
    </w:r>
  </w:p>
  <w:p w14:paraId="7C1FA4A9" w14:textId="77777777" w:rsidR="00EB1CEB" w:rsidRDefault="00EB1CEB" w:rsidP="00442822">
    <w:pPr>
      <w:pStyle w:val="Header"/>
      <w:shd w:val="clear" w:color="auto" w:fill="000000" w:themeFill="text1"/>
      <w:jc w:val="right"/>
    </w:pPr>
  </w:p>
  <w:p w14:paraId="75B138A2" w14:textId="77777777" w:rsidR="00385CD8" w:rsidRDefault="00385CD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33F55B" w14:textId="77777777" w:rsidR="00C66341" w:rsidRDefault="00C66341">
    <w:pPr>
      <w:pStyle w:val="Header"/>
      <w:jc w:val="right"/>
    </w:pPr>
  </w:p>
  <w:p w14:paraId="7B585BF4" w14:textId="77777777" w:rsidR="00C66341" w:rsidRDefault="00C663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92400"/>
    <w:multiLevelType w:val="hybridMultilevel"/>
    <w:tmpl w:val="B0BEF5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5C16227"/>
    <w:multiLevelType w:val="hybridMultilevel"/>
    <w:tmpl w:val="8D382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3D5F0E"/>
    <w:multiLevelType w:val="hybridMultilevel"/>
    <w:tmpl w:val="D62262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92A4A6A"/>
    <w:multiLevelType w:val="hybridMultilevel"/>
    <w:tmpl w:val="941C6954"/>
    <w:lvl w:ilvl="0" w:tplc="16E484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7372CB"/>
    <w:multiLevelType w:val="hybridMultilevel"/>
    <w:tmpl w:val="0AD8555E"/>
    <w:lvl w:ilvl="0" w:tplc="0B70271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15:restartNumberingAfterBreak="0">
    <w:nsid w:val="11B74328"/>
    <w:multiLevelType w:val="hybridMultilevel"/>
    <w:tmpl w:val="0AD8555E"/>
    <w:lvl w:ilvl="0" w:tplc="0B702710">
      <w:start w:val="1"/>
      <w:numFmt w:val="decimal"/>
      <w:lvlText w:val="%1."/>
      <w:lvlJc w:val="left"/>
      <w:pPr>
        <w:ind w:left="420" w:hanging="360"/>
      </w:pPr>
      <w:rPr>
        <w:rFonts w:hint="default"/>
      </w:rPr>
    </w:lvl>
    <w:lvl w:ilvl="1" w:tplc="04090019">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 w15:restartNumberingAfterBreak="0">
    <w:nsid w:val="138D3DCF"/>
    <w:multiLevelType w:val="hybridMultilevel"/>
    <w:tmpl w:val="F1282E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7" w15:restartNumberingAfterBreak="0">
    <w:nsid w:val="149F53BA"/>
    <w:multiLevelType w:val="hybridMultilevel"/>
    <w:tmpl w:val="22EE4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B22C04"/>
    <w:multiLevelType w:val="hybridMultilevel"/>
    <w:tmpl w:val="BEF68ECC"/>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9" w15:restartNumberingAfterBreak="0">
    <w:nsid w:val="17C216B6"/>
    <w:multiLevelType w:val="hybridMultilevel"/>
    <w:tmpl w:val="EE84C5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97434B7"/>
    <w:multiLevelType w:val="hybridMultilevel"/>
    <w:tmpl w:val="3E4AF5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905CAF"/>
    <w:multiLevelType w:val="hybridMultilevel"/>
    <w:tmpl w:val="04F0C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E41532"/>
    <w:multiLevelType w:val="hybridMultilevel"/>
    <w:tmpl w:val="0AD8555E"/>
    <w:lvl w:ilvl="0" w:tplc="0B702710">
      <w:start w:val="1"/>
      <w:numFmt w:val="decimal"/>
      <w:lvlText w:val="%1."/>
      <w:lvlJc w:val="left"/>
      <w:pPr>
        <w:ind w:left="420" w:hanging="360"/>
      </w:pPr>
      <w:rPr>
        <w:rFonts w:hint="default"/>
      </w:rPr>
    </w:lvl>
    <w:lvl w:ilvl="1" w:tplc="04090019">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15:restartNumberingAfterBreak="0">
    <w:nsid w:val="2652427A"/>
    <w:multiLevelType w:val="hybridMultilevel"/>
    <w:tmpl w:val="2AE03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AD73A1"/>
    <w:multiLevelType w:val="hybridMultilevel"/>
    <w:tmpl w:val="0AD8555E"/>
    <w:lvl w:ilvl="0" w:tplc="0B702710">
      <w:start w:val="1"/>
      <w:numFmt w:val="decimal"/>
      <w:lvlText w:val="%1."/>
      <w:lvlJc w:val="left"/>
      <w:pPr>
        <w:ind w:left="420" w:hanging="360"/>
      </w:pPr>
      <w:rPr>
        <w:rFonts w:hint="default"/>
      </w:rPr>
    </w:lvl>
    <w:lvl w:ilvl="1" w:tplc="04090019">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5" w15:restartNumberingAfterBreak="0">
    <w:nsid w:val="2BA92101"/>
    <w:multiLevelType w:val="hybridMultilevel"/>
    <w:tmpl w:val="AE16F7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D641E81"/>
    <w:multiLevelType w:val="hybridMultilevel"/>
    <w:tmpl w:val="8892C47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4473362"/>
    <w:multiLevelType w:val="hybridMultilevel"/>
    <w:tmpl w:val="EC680C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53F6D55"/>
    <w:multiLevelType w:val="hybridMultilevel"/>
    <w:tmpl w:val="4426C9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8263DCD"/>
    <w:multiLevelType w:val="hybridMultilevel"/>
    <w:tmpl w:val="275EA6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845FB0"/>
    <w:multiLevelType w:val="hybridMultilevel"/>
    <w:tmpl w:val="66869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7208BC"/>
    <w:multiLevelType w:val="hybridMultilevel"/>
    <w:tmpl w:val="9CD29C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32A57EE"/>
    <w:multiLevelType w:val="hybridMultilevel"/>
    <w:tmpl w:val="25A8F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EB5654"/>
    <w:multiLevelType w:val="hybridMultilevel"/>
    <w:tmpl w:val="1B669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33426D"/>
    <w:multiLevelType w:val="hybridMultilevel"/>
    <w:tmpl w:val="0AD8555E"/>
    <w:lvl w:ilvl="0" w:tplc="0B70271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5" w15:restartNumberingAfterBreak="0">
    <w:nsid w:val="4C9A0845"/>
    <w:multiLevelType w:val="hybridMultilevel"/>
    <w:tmpl w:val="EEBC65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9D2E5C"/>
    <w:multiLevelType w:val="hybridMultilevel"/>
    <w:tmpl w:val="8C1A2D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584176AC"/>
    <w:multiLevelType w:val="hybridMultilevel"/>
    <w:tmpl w:val="1298A2E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5C96363E"/>
    <w:multiLevelType w:val="hybridMultilevel"/>
    <w:tmpl w:val="2BB0792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607A76ED"/>
    <w:multiLevelType w:val="hybridMultilevel"/>
    <w:tmpl w:val="795C29B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685856FF"/>
    <w:multiLevelType w:val="hybridMultilevel"/>
    <w:tmpl w:val="8870A0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AF63313"/>
    <w:multiLevelType w:val="hybridMultilevel"/>
    <w:tmpl w:val="4D60D0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AFC0427"/>
    <w:multiLevelType w:val="hybridMultilevel"/>
    <w:tmpl w:val="19EAAB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3">
      <w:start w:val="1"/>
      <w:numFmt w:val="bullet"/>
      <w:lvlText w:val="o"/>
      <w:lvlJc w:val="left"/>
      <w:pPr>
        <w:ind w:left="1440" w:hanging="360"/>
      </w:pPr>
      <w:rPr>
        <w:rFonts w:ascii="Courier New" w:hAnsi="Courier New" w:cs="Courier New"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3" w15:restartNumberingAfterBreak="0">
    <w:nsid w:val="752E44A0"/>
    <w:multiLevelType w:val="hybridMultilevel"/>
    <w:tmpl w:val="A7BA08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33"/>
  </w:num>
  <w:num w:numId="3">
    <w:abstractNumId w:val="19"/>
  </w:num>
  <w:num w:numId="4">
    <w:abstractNumId w:val="25"/>
  </w:num>
  <w:num w:numId="5">
    <w:abstractNumId w:val="1"/>
  </w:num>
  <w:num w:numId="6">
    <w:abstractNumId w:val="7"/>
  </w:num>
  <w:num w:numId="7">
    <w:abstractNumId w:val="10"/>
  </w:num>
  <w:num w:numId="8">
    <w:abstractNumId w:val="11"/>
  </w:num>
  <w:num w:numId="9">
    <w:abstractNumId w:val="6"/>
  </w:num>
  <w:num w:numId="10">
    <w:abstractNumId w:val="32"/>
  </w:num>
  <w:num w:numId="11">
    <w:abstractNumId w:val="8"/>
  </w:num>
  <w:num w:numId="12">
    <w:abstractNumId w:val="20"/>
  </w:num>
  <w:num w:numId="13">
    <w:abstractNumId w:val="13"/>
  </w:num>
  <w:num w:numId="14">
    <w:abstractNumId w:val="22"/>
  </w:num>
  <w:num w:numId="15">
    <w:abstractNumId w:val="2"/>
  </w:num>
  <w:num w:numId="16">
    <w:abstractNumId w:val="21"/>
  </w:num>
  <w:num w:numId="17">
    <w:abstractNumId w:val="15"/>
  </w:num>
  <w:num w:numId="18">
    <w:abstractNumId w:val="16"/>
  </w:num>
  <w:num w:numId="19">
    <w:abstractNumId w:val="27"/>
  </w:num>
  <w:num w:numId="20">
    <w:abstractNumId w:val="0"/>
  </w:num>
  <w:num w:numId="21">
    <w:abstractNumId w:val="9"/>
  </w:num>
  <w:num w:numId="22">
    <w:abstractNumId w:val="18"/>
  </w:num>
  <w:num w:numId="23">
    <w:abstractNumId w:val="30"/>
  </w:num>
  <w:num w:numId="24">
    <w:abstractNumId w:val="26"/>
  </w:num>
  <w:num w:numId="25">
    <w:abstractNumId w:val="17"/>
  </w:num>
  <w:num w:numId="26">
    <w:abstractNumId w:val="14"/>
  </w:num>
  <w:num w:numId="27">
    <w:abstractNumId w:val="23"/>
  </w:num>
  <w:num w:numId="28">
    <w:abstractNumId w:val="28"/>
  </w:num>
  <w:num w:numId="29">
    <w:abstractNumId w:val="24"/>
  </w:num>
  <w:num w:numId="30">
    <w:abstractNumId w:val="4"/>
  </w:num>
  <w:num w:numId="31">
    <w:abstractNumId w:val="29"/>
  </w:num>
  <w:num w:numId="32">
    <w:abstractNumId w:val="31"/>
  </w:num>
  <w:num w:numId="33">
    <w:abstractNumId w:val="12"/>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5B9"/>
    <w:rsid w:val="0000613C"/>
    <w:rsid w:val="0001037D"/>
    <w:rsid w:val="00012258"/>
    <w:rsid w:val="00013EE2"/>
    <w:rsid w:val="000165BE"/>
    <w:rsid w:val="00020AF0"/>
    <w:rsid w:val="00023757"/>
    <w:rsid w:val="00023B4E"/>
    <w:rsid w:val="000271A7"/>
    <w:rsid w:val="000354B1"/>
    <w:rsid w:val="00037229"/>
    <w:rsid w:val="0008105A"/>
    <w:rsid w:val="00086517"/>
    <w:rsid w:val="000868F0"/>
    <w:rsid w:val="00091FD0"/>
    <w:rsid w:val="00093C49"/>
    <w:rsid w:val="000B4A91"/>
    <w:rsid w:val="000B799C"/>
    <w:rsid w:val="000B7A88"/>
    <w:rsid w:val="000E4855"/>
    <w:rsid w:val="000F056E"/>
    <w:rsid w:val="00115183"/>
    <w:rsid w:val="001174BB"/>
    <w:rsid w:val="00117D2D"/>
    <w:rsid w:val="00125447"/>
    <w:rsid w:val="001262D7"/>
    <w:rsid w:val="00144B00"/>
    <w:rsid w:val="00151693"/>
    <w:rsid w:val="00151F62"/>
    <w:rsid w:val="001555FD"/>
    <w:rsid w:val="00160E72"/>
    <w:rsid w:val="0016725A"/>
    <w:rsid w:val="00181E4A"/>
    <w:rsid w:val="00195A3F"/>
    <w:rsid w:val="00197F09"/>
    <w:rsid w:val="001A219D"/>
    <w:rsid w:val="001A2852"/>
    <w:rsid w:val="001A2A46"/>
    <w:rsid w:val="001A3C8C"/>
    <w:rsid w:val="001A5D85"/>
    <w:rsid w:val="001C7869"/>
    <w:rsid w:val="001D2738"/>
    <w:rsid w:val="001D4D41"/>
    <w:rsid w:val="001D7DD9"/>
    <w:rsid w:val="001E1B6C"/>
    <w:rsid w:val="001E702A"/>
    <w:rsid w:val="001F0FF1"/>
    <w:rsid w:val="00203D03"/>
    <w:rsid w:val="0020541A"/>
    <w:rsid w:val="002129B6"/>
    <w:rsid w:val="00222F77"/>
    <w:rsid w:val="00230826"/>
    <w:rsid w:val="00236975"/>
    <w:rsid w:val="0024442F"/>
    <w:rsid w:val="00244479"/>
    <w:rsid w:val="002523AA"/>
    <w:rsid w:val="00255924"/>
    <w:rsid w:val="00255BEB"/>
    <w:rsid w:val="00265B41"/>
    <w:rsid w:val="00272F91"/>
    <w:rsid w:val="00275B9D"/>
    <w:rsid w:val="00291373"/>
    <w:rsid w:val="002A4A00"/>
    <w:rsid w:val="002B3BCE"/>
    <w:rsid w:val="002B5936"/>
    <w:rsid w:val="002C613A"/>
    <w:rsid w:val="002D5C51"/>
    <w:rsid w:val="002F3920"/>
    <w:rsid w:val="00301511"/>
    <w:rsid w:val="00304642"/>
    <w:rsid w:val="0031044A"/>
    <w:rsid w:val="003166FB"/>
    <w:rsid w:val="00325148"/>
    <w:rsid w:val="003273C0"/>
    <w:rsid w:val="003333A6"/>
    <w:rsid w:val="00335749"/>
    <w:rsid w:val="00340C5F"/>
    <w:rsid w:val="00350F84"/>
    <w:rsid w:val="00351E68"/>
    <w:rsid w:val="00363919"/>
    <w:rsid w:val="00381445"/>
    <w:rsid w:val="00385CD8"/>
    <w:rsid w:val="003909EC"/>
    <w:rsid w:val="00395BFB"/>
    <w:rsid w:val="003A7907"/>
    <w:rsid w:val="003C185F"/>
    <w:rsid w:val="003C30A1"/>
    <w:rsid w:val="003D088E"/>
    <w:rsid w:val="003E2A3D"/>
    <w:rsid w:val="003E46E2"/>
    <w:rsid w:val="003E6BF0"/>
    <w:rsid w:val="003E6C34"/>
    <w:rsid w:val="003E7581"/>
    <w:rsid w:val="003E7F55"/>
    <w:rsid w:val="003F11A6"/>
    <w:rsid w:val="003F418E"/>
    <w:rsid w:val="00401C2A"/>
    <w:rsid w:val="0041495E"/>
    <w:rsid w:val="00421C6F"/>
    <w:rsid w:val="00423036"/>
    <w:rsid w:val="00426D9C"/>
    <w:rsid w:val="004305E1"/>
    <w:rsid w:val="00434E36"/>
    <w:rsid w:val="00442822"/>
    <w:rsid w:val="004469CF"/>
    <w:rsid w:val="004551F3"/>
    <w:rsid w:val="00460582"/>
    <w:rsid w:val="004645BA"/>
    <w:rsid w:val="004678C4"/>
    <w:rsid w:val="00471AD2"/>
    <w:rsid w:val="00495E0E"/>
    <w:rsid w:val="00496962"/>
    <w:rsid w:val="004A3B78"/>
    <w:rsid w:val="004B06C6"/>
    <w:rsid w:val="004B485D"/>
    <w:rsid w:val="004C3120"/>
    <w:rsid w:val="004C5EEF"/>
    <w:rsid w:val="004D09CE"/>
    <w:rsid w:val="004D4AC3"/>
    <w:rsid w:val="004D78A5"/>
    <w:rsid w:val="004E4D79"/>
    <w:rsid w:val="004F01D4"/>
    <w:rsid w:val="004F03FF"/>
    <w:rsid w:val="004F2965"/>
    <w:rsid w:val="00503714"/>
    <w:rsid w:val="00510101"/>
    <w:rsid w:val="00511073"/>
    <w:rsid w:val="0051159E"/>
    <w:rsid w:val="0053166D"/>
    <w:rsid w:val="00546707"/>
    <w:rsid w:val="00553DA2"/>
    <w:rsid w:val="005625A2"/>
    <w:rsid w:val="00567C8C"/>
    <w:rsid w:val="00575783"/>
    <w:rsid w:val="0058761A"/>
    <w:rsid w:val="00592D94"/>
    <w:rsid w:val="005A10BB"/>
    <w:rsid w:val="005A6674"/>
    <w:rsid w:val="005B33B5"/>
    <w:rsid w:val="005B768C"/>
    <w:rsid w:val="005C5DD2"/>
    <w:rsid w:val="005D3F7C"/>
    <w:rsid w:val="005E1949"/>
    <w:rsid w:val="005E40D1"/>
    <w:rsid w:val="005F35D6"/>
    <w:rsid w:val="005F62D5"/>
    <w:rsid w:val="005F6C20"/>
    <w:rsid w:val="005F7911"/>
    <w:rsid w:val="00601BB3"/>
    <w:rsid w:val="00605D97"/>
    <w:rsid w:val="006242DC"/>
    <w:rsid w:val="006255B9"/>
    <w:rsid w:val="00634FC0"/>
    <w:rsid w:val="00636874"/>
    <w:rsid w:val="0064067A"/>
    <w:rsid w:val="00647794"/>
    <w:rsid w:val="006571D5"/>
    <w:rsid w:val="00662E29"/>
    <w:rsid w:val="006733BC"/>
    <w:rsid w:val="006D663F"/>
    <w:rsid w:val="006D66BE"/>
    <w:rsid w:val="006E6095"/>
    <w:rsid w:val="006F01DC"/>
    <w:rsid w:val="006F06EA"/>
    <w:rsid w:val="006F4305"/>
    <w:rsid w:val="007002BE"/>
    <w:rsid w:val="007052FD"/>
    <w:rsid w:val="0070750F"/>
    <w:rsid w:val="00710BCF"/>
    <w:rsid w:val="0071540B"/>
    <w:rsid w:val="00721BF3"/>
    <w:rsid w:val="00723BCA"/>
    <w:rsid w:val="007351A6"/>
    <w:rsid w:val="0074051F"/>
    <w:rsid w:val="00750D9E"/>
    <w:rsid w:val="007629C2"/>
    <w:rsid w:val="00765C09"/>
    <w:rsid w:val="00795DEE"/>
    <w:rsid w:val="00796FC6"/>
    <w:rsid w:val="007A2A93"/>
    <w:rsid w:val="007A58E0"/>
    <w:rsid w:val="007B0556"/>
    <w:rsid w:val="007C4705"/>
    <w:rsid w:val="0080752B"/>
    <w:rsid w:val="00814024"/>
    <w:rsid w:val="0081607F"/>
    <w:rsid w:val="00821001"/>
    <w:rsid w:val="0083439F"/>
    <w:rsid w:val="00840832"/>
    <w:rsid w:val="0084335B"/>
    <w:rsid w:val="00852847"/>
    <w:rsid w:val="00861FC8"/>
    <w:rsid w:val="0086354F"/>
    <w:rsid w:val="008639C6"/>
    <w:rsid w:val="00863B59"/>
    <w:rsid w:val="00866409"/>
    <w:rsid w:val="00873529"/>
    <w:rsid w:val="00875629"/>
    <w:rsid w:val="00876F78"/>
    <w:rsid w:val="00880197"/>
    <w:rsid w:val="00881459"/>
    <w:rsid w:val="0089302E"/>
    <w:rsid w:val="008A0C2C"/>
    <w:rsid w:val="008A573B"/>
    <w:rsid w:val="008A5F7B"/>
    <w:rsid w:val="008B275A"/>
    <w:rsid w:val="008C6CC9"/>
    <w:rsid w:val="008D316C"/>
    <w:rsid w:val="008E34F3"/>
    <w:rsid w:val="008E631F"/>
    <w:rsid w:val="008E7547"/>
    <w:rsid w:val="008F0FAF"/>
    <w:rsid w:val="008F610F"/>
    <w:rsid w:val="00900259"/>
    <w:rsid w:val="00901AF4"/>
    <w:rsid w:val="00905F55"/>
    <w:rsid w:val="00912CBD"/>
    <w:rsid w:val="00914A8F"/>
    <w:rsid w:val="009300A0"/>
    <w:rsid w:val="00933C48"/>
    <w:rsid w:val="00944A89"/>
    <w:rsid w:val="00967ED5"/>
    <w:rsid w:val="00973BAB"/>
    <w:rsid w:val="009779DE"/>
    <w:rsid w:val="009779FE"/>
    <w:rsid w:val="00987072"/>
    <w:rsid w:val="00994899"/>
    <w:rsid w:val="00995A10"/>
    <w:rsid w:val="009A1E2F"/>
    <w:rsid w:val="009A2339"/>
    <w:rsid w:val="009C0CAA"/>
    <w:rsid w:val="009C73F7"/>
    <w:rsid w:val="009D5902"/>
    <w:rsid w:val="009E0861"/>
    <w:rsid w:val="009E4F1E"/>
    <w:rsid w:val="009E7F6B"/>
    <w:rsid w:val="009F069A"/>
    <w:rsid w:val="00A0066A"/>
    <w:rsid w:val="00A102A3"/>
    <w:rsid w:val="00A22BC9"/>
    <w:rsid w:val="00A22CD8"/>
    <w:rsid w:val="00A35F74"/>
    <w:rsid w:val="00A47F21"/>
    <w:rsid w:val="00A75456"/>
    <w:rsid w:val="00A75F08"/>
    <w:rsid w:val="00A77B40"/>
    <w:rsid w:val="00A80816"/>
    <w:rsid w:val="00A8122C"/>
    <w:rsid w:val="00A8746A"/>
    <w:rsid w:val="00A879E2"/>
    <w:rsid w:val="00AD595A"/>
    <w:rsid w:val="00AE4F52"/>
    <w:rsid w:val="00AF3068"/>
    <w:rsid w:val="00AF683F"/>
    <w:rsid w:val="00B0273E"/>
    <w:rsid w:val="00B0406B"/>
    <w:rsid w:val="00B143B8"/>
    <w:rsid w:val="00B20415"/>
    <w:rsid w:val="00B32039"/>
    <w:rsid w:val="00B3779A"/>
    <w:rsid w:val="00B52156"/>
    <w:rsid w:val="00B6086C"/>
    <w:rsid w:val="00B72B58"/>
    <w:rsid w:val="00B82E2B"/>
    <w:rsid w:val="00B834FC"/>
    <w:rsid w:val="00B92B98"/>
    <w:rsid w:val="00BA18AD"/>
    <w:rsid w:val="00BB05F6"/>
    <w:rsid w:val="00BB28D2"/>
    <w:rsid w:val="00BD0A8C"/>
    <w:rsid w:val="00BD2034"/>
    <w:rsid w:val="00BD61C0"/>
    <w:rsid w:val="00C22E53"/>
    <w:rsid w:val="00C23019"/>
    <w:rsid w:val="00C34D1E"/>
    <w:rsid w:val="00C44793"/>
    <w:rsid w:val="00C47E28"/>
    <w:rsid w:val="00C51EFD"/>
    <w:rsid w:val="00C609FF"/>
    <w:rsid w:val="00C618A0"/>
    <w:rsid w:val="00C62CA4"/>
    <w:rsid w:val="00C63577"/>
    <w:rsid w:val="00C64D22"/>
    <w:rsid w:val="00C66341"/>
    <w:rsid w:val="00C75433"/>
    <w:rsid w:val="00C90901"/>
    <w:rsid w:val="00C91A25"/>
    <w:rsid w:val="00CA6733"/>
    <w:rsid w:val="00CB52B0"/>
    <w:rsid w:val="00CB787C"/>
    <w:rsid w:val="00CB7DEC"/>
    <w:rsid w:val="00CC221A"/>
    <w:rsid w:val="00CD0544"/>
    <w:rsid w:val="00CD3AAD"/>
    <w:rsid w:val="00CE6B94"/>
    <w:rsid w:val="00CF06BD"/>
    <w:rsid w:val="00CF2B03"/>
    <w:rsid w:val="00CF7E54"/>
    <w:rsid w:val="00D02D53"/>
    <w:rsid w:val="00D14471"/>
    <w:rsid w:val="00D23557"/>
    <w:rsid w:val="00D24664"/>
    <w:rsid w:val="00D26EB5"/>
    <w:rsid w:val="00D27D05"/>
    <w:rsid w:val="00D3386B"/>
    <w:rsid w:val="00D40E40"/>
    <w:rsid w:val="00D60AE2"/>
    <w:rsid w:val="00D73C1A"/>
    <w:rsid w:val="00D82434"/>
    <w:rsid w:val="00D875F2"/>
    <w:rsid w:val="00D96DA0"/>
    <w:rsid w:val="00DA7EEB"/>
    <w:rsid w:val="00DB1022"/>
    <w:rsid w:val="00DB4FFA"/>
    <w:rsid w:val="00DB6784"/>
    <w:rsid w:val="00DC6095"/>
    <w:rsid w:val="00DC7020"/>
    <w:rsid w:val="00DC788E"/>
    <w:rsid w:val="00DD059A"/>
    <w:rsid w:val="00DD4F94"/>
    <w:rsid w:val="00DD738D"/>
    <w:rsid w:val="00DE46F4"/>
    <w:rsid w:val="00DF5A51"/>
    <w:rsid w:val="00E01B38"/>
    <w:rsid w:val="00E27BCA"/>
    <w:rsid w:val="00E35EC0"/>
    <w:rsid w:val="00E407AB"/>
    <w:rsid w:val="00E519F3"/>
    <w:rsid w:val="00E76817"/>
    <w:rsid w:val="00EA33B8"/>
    <w:rsid w:val="00EA6DAB"/>
    <w:rsid w:val="00EB1CEB"/>
    <w:rsid w:val="00EB4490"/>
    <w:rsid w:val="00ED21B1"/>
    <w:rsid w:val="00ED29EC"/>
    <w:rsid w:val="00ED44DB"/>
    <w:rsid w:val="00EE5DE6"/>
    <w:rsid w:val="00EF135E"/>
    <w:rsid w:val="00EF7212"/>
    <w:rsid w:val="00F01C6B"/>
    <w:rsid w:val="00F11248"/>
    <w:rsid w:val="00F11C3B"/>
    <w:rsid w:val="00F1475B"/>
    <w:rsid w:val="00F21778"/>
    <w:rsid w:val="00F21891"/>
    <w:rsid w:val="00F2312D"/>
    <w:rsid w:val="00F25D62"/>
    <w:rsid w:val="00F3737F"/>
    <w:rsid w:val="00F448B3"/>
    <w:rsid w:val="00F541C3"/>
    <w:rsid w:val="00F57BBD"/>
    <w:rsid w:val="00F8206A"/>
    <w:rsid w:val="00F831A1"/>
    <w:rsid w:val="00F8501F"/>
    <w:rsid w:val="00F97B69"/>
    <w:rsid w:val="00FB7EAB"/>
    <w:rsid w:val="00FC27A4"/>
    <w:rsid w:val="00FC2812"/>
    <w:rsid w:val="00FC2DB7"/>
    <w:rsid w:val="00FC34C0"/>
    <w:rsid w:val="00FC6276"/>
    <w:rsid w:val="00FD1EF3"/>
    <w:rsid w:val="00FF13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CE83C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55B9"/>
  </w:style>
  <w:style w:type="paragraph" w:styleId="Heading1">
    <w:name w:val="heading 1"/>
    <w:basedOn w:val="Normal"/>
    <w:next w:val="Normal"/>
    <w:link w:val="Heading1Char"/>
    <w:uiPriority w:val="9"/>
    <w:qFormat/>
    <w:rsid w:val="0083439F"/>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83439F"/>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83439F"/>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83439F"/>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83439F"/>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83439F"/>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83439F"/>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3439F"/>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83439F"/>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F7E54"/>
    <w:pPr>
      <w:spacing w:after="0" w:line="240" w:lineRule="auto"/>
    </w:pPr>
    <w:rPr>
      <w:rFonts w:ascii="Times New Roman" w:hAnsi="Times New Roman"/>
    </w:rPr>
  </w:style>
  <w:style w:type="character" w:customStyle="1" w:styleId="Heading1Char">
    <w:name w:val="Heading 1 Char"/>
    <w:basedOn w:val="DefaultParagraphFont"/>
    <w:link w:val="Heading1"/>
    <w:uiPriority w:val="9"/>
    <w:rsid w:val="0083439F"/>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83439F"/>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83439F"/>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CF06BD"/>
    <w:pPr>
      <w:spacing w:after="100"/>
    </w:pPr>
  </w:style>
  <w:style w:type="paragraph" w:styleId="TOC2">
    <w:name w:val="toc 2"/>
    <w:basedOn w:val="Normal"/>
    <w:next w:val="Normal"/>
    <w:autoRedefine/>
    <w:uiPriority w:val="39"/>
    <w:semiHidden/>
    <w:unhideWhenUsed/>
    <w:rsid w:val="00CF06BD"/>
    <w:pPr>
      <w:spacing w:after="100"/>
      <w:ind w:left="220"/>
    </w:pPr>
  </w:style>
  <w:style w:type="paragraph" w:styleId="TOC3">
    <w:name w:val="toc 3"/>
    <w:basedOn w:val="Normal"/>
    <w:next w:val="Normal"/>
    <w:autoRedefine/>
    <w:uiPriority w:val="39"/>
    <w:semiHidden/>
    <w:unhideWhenUsed/>
    <w:rsid w:val="00CF06BD"/>
    <w:pPr>
      <w:spacing w:after="100"/>
      <w:ind w:left="440"/>
    </w:pPr>
  </w:style>
  <w:style w:type="paragraph" w:styleId="Caption">
    <w:name w:val="caption"/>
    <w:basedOn w:val="Normal"/>
    <w:next w:val="Normal"/>
    <w:uiPriority w:val="35"/>
    <w:unhideWhenUsed/>
    <w:rsid w:val="00CC221A"/>
    <w:rPr>
      <w:b/>
      <w:bCs/>
      <w:sz w:val="18"/>
      <w:szCs w:val="18"/>
    </w:rPr>
  </w:style>
  <w:style w:type="paragraph" w:styleId="BodyText">
    <w:name w:val="Body Text"/>
    <w:basedOn w:val="Normal"/>
    <w:link w:val="BodyTextChar"/>
    <w:uiPriority w:val="99"/>
    <w:semiHidden/>
    <w:unhideWhenUsed/>
    <w:rsid w:val="00CF06BD"/>
  </w:style>
  <w:style w:type="character" w:customStyle="1" w:styleId="BodyTextChar">
    <w:name w:val="Body Text Char"/>
    <w:basedOn w:val="DefaultParagraphFont"/>
    <w:link w:val="BodyText"/>
    <w:uiPriority w:val="99"/>
    <w:semiHidden/>
    <w:rsid w:val="00CF06BD"/>
    <w:rPr>
      <w:rFonts w:asciiTheme="minorHAnsi" w:eastAsiaTheme="minorEastAsia" w:hAnsiTheme="minorHAnsi" w:cstheme="minorBidi"/>
    </w:rPr>
  </w:style>
  <w:style w:type="character" w:customStyle="1" w:styleId="NoSpacingChar">
    <w:name w:val="No Spacing Char"/>
    <w:basedOn w:val="DefaultParagraphFont"/>
    <w:link w:val="NoSpacing"/>
    <w:uiPriority w:val="1"/>
    <w:rsid w:val="00CF7E54"/>
    <w:rPr>
      <w:rFonts w:ascii="Times New Roman" w:hAnsi="Times New Roman"/>
    </w:rPr>
  </w:style>
  <w:style w:type="paragraph" w:styleId="ListParagraph">
    <w:name w:val="List Paragraph"/>
    <w:basedOn w:val="Normal"/>
    <w:uiPriority w:val="34"/>
    <w:qFormat/>
    <w:rsid w:val="0083439F"/>
    <w:pPr>
      <w:ind w:left="720"/>
      <w:contextualSpacing/>
    </w:pPr>
  </w:style>
  <w:style w:type="character" w:styleId="BookTitle">
    <w:name w:val="Book Title"/>
    <w:uiPriority w:val="33"/>
    <w:qFormat/>
    <w:rsid w:val="0083439F"/>
    <w:rPr>
      <w:i/>
      <w:iCs/>
      <w:smallCaps/>
      <w:spacing w:val="5"/>
    </w:rPr>
  </w:style>
  <w:style w:type="paragraph" w:styleId="TOCHeading">
    <w:name w:val="TOC Heading"/>
    <w:basedOn w:val="Heading1"/>
    <w:next w:val="Normal"/>
    <w:uiPriority w:val="39"/>
    <w:semiHidden/>
    <w:unhideWhenUsed/>
    <w:qFormat/>
    <w:rsid w:val="0083439F"/>
    <w:pPr>
      <w:outlineLvl w:val="9"/>
    </w:pPr>
    <w:rPr>
      <w:lang w:bidi="en-US"/>
    </w:rPr>
  </w:style>
  <w:style w:type="character" w:customStyle="1" w:styleId="Heading4Char">
    <w:name w:val="Heading 4 Char"/>
    <w:basedOn w:val="DefaultParagraphFont"/>
    <w:link w:val="Heading4"/>
    <w:uiPriority w:val="9"/>
    <w:semiHidden/>
    <w:rsid w:val="0083439F"/>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83439F"/>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83439F"/>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83439F"/>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83439F"/>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83439F"/>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3439F"/>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3439F"/>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3439F"/>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83439F"/>
    <w:rPr>
      <w:rFonts w:asciiTheme="majorHAnsi" w:eastAsiaTheme="majorEastAsia" w:hAnsiTheme="majorHAnsi" w:cstheme="majorBidi"/>
      <w:i/>
      <w:iCs/>
      <w:spacing w:val="13"/>
      <w:sz w:val="24"/>
      <w:szCs w:val="24"/>
    </w:rPr>
  </w:style>
  <w:style w:type="character" w:styleId="Strong">
    <w:name w:val="Strong"/>
    <w:uiPriority w:val="22"/>
    <w:qFormat/>
    <w:rsid w:val="0083439F"/>
    <w:rPr>
      <w:b/>
      <w:bCs/>
    </w:rPr>
  </w:style>
  <w:style w:type="character" w:styleId="Emphasis">
    <w:name w:val="Emphasis"/>
    <w:uiPriority w:val="20"/>
    <w:qFormat/>
    <w:rsid w:val="0083439F"/>
    <w:rPr>
      <w:b/>
      <w:bCs/>
      <w:i/>
      <w:iCs/>
      <w:spacing w:val="10"/>
      <w:bdr w:val="none" w:sz="0" w:space="0" w:color="auto"/>
      <w:shd w:val="clear" w:color="auto" w:fill="auto"/>
    </w:rPr>
  </w:style>
  <w:style w:type="paragraph" w:styleId="Quote">
    <w:name w:val="Quote"/>
    <w:basedOn w:val="Normal"/>
    <w:next w:val="Normal"/>
    <w:link w:val="QuoteChar"/>
    <w:uiPriority w:val="29"/>
    <w:qFormat/>
    <w:rsid w:val="0083439F"/>
    <w:pPr>
      <w:spacing w:before="200" w:after="0"/>
      <w:ind w:left="360" w:right="360"/>
    </w:pPr>
    <w:rPr>
      <w:i/>
      <w:iCs/>
    </w:rPr>
  </w:style>
  <w:style w:type="character" w:customStyle="1" w:styleId="QuoteChar">
    <w:name w:val="Quote Char"/>
    <w:basedOn w:val="DefaultParagraphFont"/>
    <w:link w:val="Quote"/>
    <w:uiPriority w:val="29"/>
    <w:rsid w:val="0083439F"/>
    <w:rPr>
      <w:i/>
      <w:iCs/>
    </w:rPr>
  </w:style>
  <w:style w:type="paragraph" w:styleId="IntenseQuote">
    <w:name w:val="Intense Quote"/>
    <w:basedOn w:val="Normal"/>
    <w:next w:val="Normal"/>
    <w:link w:val="IntenseQuoteChar"/>
    <w:uiPriority w:val="30"/>
    <w:qFormat/>
    <w:rsid w:val="0083439F"/>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3439F"/>
    <w:rPr>
      <w:b/>
      <w:bCs/>
      <w:i/>
      <w:iCs/>
    </w:rPr>
  </w:style>
  <w:style w:type="character" w:styleId="SubtleEmphasis">
    <w:name w:val="Subtle Emphasis"/>
    <w:uiPriority w:val="19"/>
    <w:qFormat/>
    <w:rsid w:val="0083439F"/>
    <w:rPr>
      <w:i/>
      <w:iCs/>
    </w:rPr>
  </w:style>
  <w:style w:type="character" w:styleId="IntenseEmphasis">
    <w:name w:val="Intense Emphasis"/>
    <w:uiPriority w:val="21"/>
    <w:qFormat/>
    <w:rsid w:val="0083439F"/>
    <w:rPr>
      <w:b/>
      <w:bCs/>
    </w:rPr>
  </w:style>
  <w:style w:type="character" w:styleId="SubtleReference">
    <w:name w:val="Subtle Reference"/>
    <w:uiPriority w:val="31"/>
    <w:qFormat/>
    <w:rsid w:val="0083439F"/>
    <w:rPr>
      <w:smallCaps/>
    </w:rPr>
  </w:style>
  <w:style w:type="character" w:styleId="IntenseReference">
    <w:name w:val="Intense Reference"/>
    <w:uiPriority w:val="32"/>
    <w:qFormat/>
    <w:rsid w:val="0083439F"/>
    <w:rPr>
      <w:smallCaps/>
      <w:spacing w:val="5"/>
      <w:u w:val="single"/>
    </w:rPr>
  </w:style>
  <w:style w:type="character" w:styleId="Hyperlink">
    <w:name w:val="Hyperlink"/>
    <w:basedOn w:val="DefaultParagraphFont"/>
    <w:uiPriority w:val="99"/>
    <w:unhideWhenUsed/>
    <w:rsid w:val="00CF06BD"/>
    <w:rPr>
      <w:color w:val="0000FF" w:themeColor="hyperlink"/>
      <w:u w:val="single"/>
    </w:rPr>
  </w:style>
  <w:style w:type="paragraph" w:styleId="BalloonText">
    <w:name w:val="Balloon Text"/>
    <w:basedOn w:val="Normal"/>
    <w:link w:val="BalloonTextChar"/>
    <w:uiPriority w:val="99"/>
    <w:semiHidden/>
    <w:unhideWhenUsed/>
    <w:rsid w:val="00CF06BD"/>
    <w:rPr>
      <w:rFonts w:ascii="Tahoma" w:hAnsi="Tahoma" w:cs="Tahoma"/>
      <w:sz w:val="16"/>
      <w:szCs w:val="16"/>
    </w:rPr>
  </w:style>
  <w:style w:type="character" w:customStyle="1" w:styleId="BalloonTextChar">
    <w:name w:val="Balloon Text Char"/>
    <w:basedOn w:val="DefaultParagraphFont"/>
    <w:link w:val="BalloonText"/>
    <w:uiPriority w:val="99"/>
    <w:semiHidden/>
    <w:rsid w:val="00CF06BD"/>
    <w:rPr>
      <w:rFonts w:ascii="Tahoma" w:eastAsiaTheme="minorEastAsia" w:hAnsi="Tahoma" w:cs="Tahoma"/>
      <w:sz w:val="16"/>
      <w:szCs w:val="16"/>
    </w:rPr>
  </w:style>
  <w:style w:type="paragraph" w:styleId="Header">
    <w:name w:val="header"/>
    <w:basedOn w:val="Normal"/>
    <w:link w:val="HeaderChar"/>
    <w:uiPriority w:val="99"/>
    <w:unhideWhenUsed/>
    <w:rsid w:val="006255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55B9"/>
  </w:style>
  <w:style w:type="paragraph" w:styleId="NormalWeb">
    <w:name w:val="Normal (Web)"/>
    <w:basedOn w:val="Normal"/>
    <w:uiPriority w:val="99"/>
    <w:unhideWhenUsed/>
    <w:rsid w:val="006255B9"/>
    <w:pPr>
      <w:spacing w:after="0" w:line="240" w:lineRule="auto"/>
    </w:pPr>
    <w:rPr>
      <w:rFonts w:ascii="Times New Roman" w:hAnsi="Times New Roman" w:cs="Times New Roman"/>
      <w:szCs w:val="24"/>
    </w:rPr>
  </w:style>
  <w:style w:type="paragraph" w:styleId="Footer">
    <w:name w:val="footer"/>
    <w:basedOn w:val="Normal"/>
    <w:link w:val="FooterChar"/>
    <w:uiPriority w:val="99"/>
    <w:unhideWhenUsed/>
    <w:rsid w:val="00C663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6341"/>
  </w:style>
  <w:style w:type="table" w:styleId="TableGrid">
    <w:name w:val="Table Grid"/>
    <w:basedOn w:val="TableNormal"/>
    <w:uiPriority w:val="59"/>
    <w:rsid w:val="00395BFB"/>
    <w:pPr>
      <w:spacing w:after="0" w:line="240" w:lineRule="auto"/>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C4705"/>
    <w:rPr>
      <w:color w:val="800080" w:themeColor="followedHyperlink"/>
      <w:u w:val="single"/>
    </w:rPr>
  </w:style>
  <w:style w:type="character" w:styleId="PageNumber">
    <w:name w:val="page number"/>
    <w:basedOn w:val="DefaultParagraphFont"/>
    <w:uiPriority w:val="99"/>
    <w:semiHidden/>
    <w:unhideWhenUsed/>
    <w:rsid w:val="00012258"/>
  </w:style>
  <w:style w:type="character" w:styleId="CommentReference">
    <w:name w:val="annotation reference"/>
    <w:basedOn w:val="DefaultParagraphFont"/>
    <w:uiPriority w:val="99"/>
    <w:semiHidden/>
    <w:unhideWhenUsed/>
    <w:rsid w:val="003E46E2"/>
    <w:rPr>
      <w:sz w:val="16"/>
      <w:szCs w:val="16"/>
    </w:rPr>
  </w:style>
  <w:style w:type="paragraph" w:styleId="CommentText">
    <w:name w:val="annotation text"/>
    <w:basedOn w:val="Normal"/>
    <w:link w:val="CommentTextChar"/>
    <w:uiPriority w:val="99"/>
    <w:semiHidden/>
    <w:unhideWhenUsed/>
    <w:rsid w:val="003E46E2"/>
    <w:pPr>
      <w:spacing w:line="240" w:lineRule="auto"/>
    </w:pPr>
    <w:rPr>
      <w:sz w:val="20"/>
      <w:szCs w:val="20"/>
    </w:rPr>
  </w:style>
  <w:style w:type="character" w:customStyle="1" w:styleId="CommentTextChar">
    <w:name w:val="Comment Text Char"/>
    <w:basedOn w:val="DefaultParagraphFont"/>
    <w:link w:val="CommentText"/>
    <w:uiPriority w:val="99"/>
    <w:semiHidden/>
    <w:rsid w:val="003E46E2"/>
    <w:rPr>
      <w:sz w:val="20"/>
      <w:szCs w:val="20"/>
    </w:rPr>
  </w:style>
  <w:style w:type="paragraph" w:styleId="CommentSubject">
    <w:name w:val="annotation subject"/>
    <w:basedOn w:val="CommentText"/>
    <w:next w:val="CommentText"/>
    <w:link w:val="CommentSubjectChar"/>
    <w:uiPriority w:val="99"/>
    <w:semiHidden/>
    <w:unhideWhenUsed/>
    <w:rsid w:val="003E46E2"/>
    <w:rPr>
      <w:b/>
      <w:bCs/>
    </w:rPr>
  </w:style>
  <w:style w:type="character" w:customStyle="1" w:styleId="CommentSubjectChar">
    <w:name w:val="Comment Subject Char"/>
    <w:basedOn w:val="CommentTextChar"/>
    <w:link w:val="CommentSubject"/>
    <w:uiPriority w:val="99"/>
    <w:semiHidden/>
    <w:rsid w:val="003E46E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418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tu.edu/stratplan/StrategicPlan.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06638E-86FF-426E-ADEB-1EF13205D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833</Words>
  <Characters>4751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Texas Tech University</Company>
  <LinksUpToDate>false</LinksUpToDate>
  <CharactersWithSpaces>5573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Hovey, Larry</dc:creator>
  <cp:lastModifiedBy>Lock, Robin</cp:lastModifiedBy>
  <cp:revision>2</cp:revision>
  <cp:lastPrinted>2018-10-30T21:04:00Z</cp:lastPrinted>
  <dcterms:created xsi:type="dcterms:W3CDTF">2018-11-12T18:04:00Z</dcterms:created>
  <dcterms:modified xsi:type="dcterms:W3CDTF">2018-11-12T18:04:00Z</dcterms:modified>
</cp:coreProperties>
</file>