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283" w:rsidRDefault="003A0283" w:rsidP="003A0283">
      <w:pPr>
        <w:spacing w:after="0" w:line="240" w:lineRule="auto"/>
        <w:rPr>
          <w:rFonts w:ascii="Times New Roman" w:eastAsia="Times New Roman" w:hAnsi="Times New Roman" w:cs="Times New Roman"/>
          <w:color w:val="CC0000"/>
          <w:kern w:val="36"/>
          <w:sz w:val="28"/>
          <w:szCs w:val="44"/>
        </w:rPr>
      </w:pPr>
    </w:p>
    <w:p w:rsidR="003A0283" w:rsidRDefault="003A0283" w:rsidP="003A0283">
      <w:pPr>
        <w:spacing w:after="0" w:line="240" w:lineRule="auto"/>
        <w:rPr>
          <w:rFonts w:ascii="Times New Roman" w:eastAsia="Times New Roman" w:hAnsi="Times New Roman" w:cs="Times New Roman"/>
          <w:color w:val="CC0000"/>
          <w:kern w:val="36"/>
          <w:sz w:val="28"/>
          <w:szCs w:val="44"/>
        </w:rPr>
      </w:pPr>
    </w:p>
    <w:p w:rsidR="003A0283" w:rsidRDefault="003A0283" w:rsidP="003A0283">
      <w:pPr>
        <w:spacing w:after="0" w:line="240" w:lineRule="auto"/>
        <w:jc w:val="center"/>
        <w:rPr>
          <w:rFonts w:ascii="Times New Roman" w:eastAsia="Times New Roman" w:hAnsi="Times New Roman" w:cs="Times New Roman"/>
          <w:b/>
          <w:kern w:val="36"/>
          <w:sz w:val="28"/>
          <w:szCs w:val="44"/>
        </w:rPr>
      </w:pPr>
      <w:r w:rsidRPr="006C4745">
        <w:rPr>
          <w:rFonts w:ascii="Times New Roman" w:eastAsia="Times New Roman" w:hAnsi="Times New Roman" w:cs="Times New Roman"/>
          <w:b/>
          <w:kern w:val="36"/>
          <w:sz w:val="28"/>
          <w:szCs w:val="44"/>
        </w:rPr>
        <w:t>Faculty Teaching Responsibilities</w:t>
      </w:r>
    </w:p>
    <w:p w:rsidR="004F4468" w:rsidRDefault="004F4468" w:rsidP="004F4468">
      <w:pPr>
        <w:spacing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Approved by College of Education Tenured/Tenure-Track Faculty Vote </w:t>
      </w:r>
    </w:p>
    <w:p w:rsidR="004F4468" w:rsidRDefault="004F4468" w:rsidP="004F4468">
      <w:pPr>
        <w:spacing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conducted</w:t>
      </w:r>
      <w:proofErr w:type="gramEnd"/>
      <w:r>
        <w:rPr>
          <w:rFonts w:ascii="Times New Roman" w:hAnsi="Times New Roman" w:cs="Times New Roman"/>
          <w:b/>
          <w:bCs/>
          <w:sz w:val="24"/>
          <w:szCs w:val="24"/>
        </w:rPr>
        <w:t xml:space="preserve"> via email; completed on 12.15.16)</w:t>
      </w:r>
    </w:p>
    <w:p w:rsidR="004F4468" w:rsidRDefault="004F4468" w:rsidP="003A0283">
      <w:pPr>
        <w:spacing w:after="0" w:line="240" w:lineRule="auto"/>
        <w:jc w:val="center"/>
        <w:rPr>
          <w:rFonts w:ascii="Times New Roman" w:eastAsia="Times New Roman" w:hAnsi="Times New Roman" w:cs="Times New Roman"/>
          <w:b/>
          <w:kern w:val="36"/>
          <w:sz w:val="28"/>
          <w:szCs w:val="44"/>
        </w:rPr>
      </w:pPr>
    </w:p>
    <w:p w:rsidR="004F4468" w:rsidRDefault="004F4468" w:rsidP="003A0283">
      <w:pPr>
        <w:spacing w:after="0" w:line="240" w:lineRule="auto"/>
        <w:jc w:val="center"/>
        <w:rPr>
          <w:rFonts w:ascii="Times New Roman" w:eastAsia="Times New Roman" w:hAnsi="Times New Roman" w:cs="Times New Roman"/>
          <w:b/>
          <w:kern w:val="36"/>
          <w:sz w:val="28"/>
          <w:szCs w:val="44"/>
        </w:rPr>
      </w:pPr>
    </w:p>
    <w:p w:rsidR="003A0283" w:rsidRPr="003752E6" w:rsidRDefault="003A0283" w:rsidP="003A0283">
      <w:pPr>
        <w:pStyle w:val="Heading1"/>
        <w:shd w:val="clear" w:color="auto" w:fill="FFFFFF"/>
        <w:spacing w:before="0" w:beforeAutospacing="0" w:after="0" w:afterAutospacing="0"/>
        <w:rPr>
          <w:bCs w:val="0"/>
          <w:sz w:val="24"/>
          <w:szCs w:val="24"/>
        </w:rPr>
      </w:pPr>
      <w:r w:rsidRPr="003752E6">
        <w:rPr>
          <w:bCs w:val="0"/>
          <w:sz w:val="24"/>
          <w:szCs w:val="24"/>
        </w:rPr>
        <w:t>Sources of Authority</w:t>
      </w:r>
    </w:p>
    <w:p w:rsidR="003A0283" w:rsidRDefault="003A0283" w:rsidP="003A0283">
      <w:pPr>
        <w:pStyle w:val="Heading1"/>
        <w:shd w:val="clear" w:color="auto" w:fill="FFFFFF"/>
        <w:spacing w:before="0" w:beforeAutospacing="0" w:after="0" w:afterAutospacing="0"/>
        <w:rPr>
          <w:bCs w:val="0"/>
          <w:sz w:val="24"/>
          <w:szCs w:val="24"/>
          <w:highlight w:val="yellow"/>
        </w:rPr>
      </w:pPr>
    </w:p>
    <w:p w:rsidR="003A0283" w:rsidRPr="006C4745" w:rsidRDefault="003A0283" w:rsidP="003A0283">
      <w:pPr>
        <w:pStyle w:val="Heading1"/>
        <w:shd w:val="clear" w:color="auto" w:fill="FFFFFF"/>
        <w:spacing w:before="0" w:beforeAutospacing="0" w:after="0" w:afterAutospacing="0"/>
        <w:rPr>
          <w:bCs w:val="0"/>
          <w:sz w:val="24"/>
          <w:szCs w:val="24"/>
        </w:rPr>
      </w:pPr>
      <w:r w:rsidRPr="006C4745">
        <w:rPr>
          <w:bCs w:val="0"/>
          <w:sz w:val="24"/>
          <w:szCs w:val="24"/>
        </w:rPr>
        <w:t>Related OPs</w:t>
      </w:r>
      <w:r w:rsidRPr="006C4745">
        <w:rPr>
          <w:sz w:val="24"/>
          <w:szCs w:val="24"/>
        </w:rPr>
        <w:t xml:space="preserve"> 32.06:</w:t>
      </w:r>
      <w:r w:rsidR="009A5D2F">
        <w:rPr>
          <w:sz w:val="24"/>
          <w:szCs w:val="24"/>
        </w:rPr>
        <w:t xml:space="preserve"> </w:t>
      </w:r>
      <w:hyperlink r:id="rId6" w:history="1">
        <w:r w:rsidRPr="009A5D2F">
          <w:rPr>
            <w:rStyle w:val="Hyperlink"/>
            <w:bCs w:val="0"/>
            <w:sz w:val="24"/>
            <w:szCs w:val="24"/>
          </w:rPr>
          <w:t>http://www.depts.ttu.edu/opmanual/OP32.06.pdf</w:t>
        </w:r>
      </w:hyperlink>
      <w:bookmarkStart w:id="0" w:name="_GoBack"/>
      <w:bookmarkEnd w:id="0"/>
      <w:r w:rsidRPr="006C4745">
        <w:rPr>
          <w:bCs w:val="0"/>
          <w:sz w:val="24"/>
          <w:szCs w:val="24"/>
        </w:rPr>
        <w:t xml:space="preserve"> </w:t>
      </w:r>
    </w:p>
    <w:p w:rsidR="003A0283" w:rsidRDefault="003A0283" w:rsidP="003A0283">
      <w:pPr>
        <w:pStyle w:val="Heading1"/>
        <w:shd w:val="clear" w:color="auto" w:fill="FFFFFF"/>
        <w:spacing w:before="0" w:beforeAutospacing="0" w:after="0" w:afterAutospacing="0"/>
        <w:rPr>
          <w:bCs w:val="0"/>
          <w:sz w:val="24"/>
          <w:szCs w:val="24"/>
        </w:rPr>
      </w:pPr>
    </w:p>
    <w:p w:rsidR="003A0283" w:rsidRDefault="003A0283" w:rsidP="003A0283">
      <w:pPr>
        <w:pStyle w:val="Heading1"/>
        <w:shd w:val="clear" w:color="auto" w:fill="FFFFFF"/>
        <w:spacing w:before="0" w:beforeAutospacing="0" w:after="0" w:afterAutospacing="0"/>
        <w:rPr>
          <w:bCs w:val="0"/>
          <w:sz w:val="24"/>
          <w:szCs w:val="24"/>
        </w:rPr>
      </w:pPr>
      <w:r>
        <w:rPr>
          <w:bCs w:val="0"/>
          <w:sz w:val="24"/>
          <w:szCs w:val="24"/>
        </w:rPr>
        <w:t xml:space="preserve">2016-7 </w:t>
      </w:r>
      <w:r w:rsidRPr="006C4745">
        <w:rPr>
          <w:bCs w:val="0"/>
          <w:sz w:val="24"/>
          <w:szCs w:val="24"/>
        </w:rPr>
        <w:t>Texas Tech Faculty Handbook (“Role of Faculty” and “Faculty Affairs”)</w:t>
      </w:r>
    </w:p>
    <w:p w:rsidR="003A0283" w:rsidRDefault="009A5D2F" w:rsidP="003A0283">
      <w:pPr>
        <w:pStyle w:val="Heading1"/>
        <w:shd w:val="clear" w:color="auto" w:fill="FFFFFF"/>
        <w:spacing w:before="0" w:beforeAutospacing="0" w:after="0" w:afterAutospacing="0"/>
        <w:rPr>
          <w:bCs w:val="0"/>
          <w:sz w:val="24"/>
          <w:szCs w:val="24"/>
        </w:rPr>
      </w:pPr>
      <w:hyperlink r:id="rId7" w:history="1">
        <w:r w:rsidR="003A0283" w:rsidRPr="00CE7C3E">
          <w:rPr>
            <w:rStyle w:val="Hyperlink"/>
            <w:bCs w:val="0"/>
            <w:sz w:val="24"/>
            <w:szCs w:val="24"/>
          </w:rPr>
          <w:t>http://www.depts.ttu.edu/officialpublications/pdfs/2016-17_Faculty_Handbook.pdf</w:t>
        </w:r>
      </w:hyperlink>
      <w:r w:rsidR="003A0283">
        <w:rPr>
          <w:bCs w:val="0"/>
          <w:sz w:val="24"/>
          <w:szCs w:val="24"/>
        </w:rPr>
        <w:t xml:space="preserve"> </w:t>
      </w:r>
    </w:p>
    <w:p w:rsidR="003A0283" w:rsidRPr="006C4745" w:rsidRDefault="003A0283" w:rsidP="003A0283">
      <w:pPr>
        <w:pStyle w:val="Heading1"/>
        <w:shd w:val="clear" w:color="auto" w:fill="FFFFFF"/>
        <w:spacing w:before="0" w:beforeAutospacing="0" w:after="0" w:afterAutospacing="0"/>
        <w:rPr>
          <w:bCs w:val="0"/>
          <w:sz w:val="24"/>
          <w:szCs w:val="24"/>
        </w:rPr>
      </w:pPr>
    </w:p>
    <w:p w:rsidR="003A0283" w:rsidRPr="006C4745" w:rsidRDefault="003A0283" w:rsidP="003A0283">
      <w:pPr>
        <w:pStyle w:val="Heading1"/>
        <w:shd w:val="clear" w:color="auto" w:fill="FFFFFF"/>
        <w:spacing w:before="0" w:beforeAutospacing="0" w:after="0" w:afterAutospacing="0"/>
        <w:rPr>
          <w:bCs w:val="0"/>
          <w:sz w:val="24"/>
          <w:szCs w:val="24"/>
        </w:rPr>
      </w:pPr>
      <w:r w:rsidRPr="006C4745">
        <w:rPr>
          <w:bCs w:val="0"/>
          <w:sz w:val="24"/>
          <w:szCs w:val="24"/>
        </w:rPr>
        <w:t>Texas Tech Regents Rules 04.04.3:</w:t>
      </w:r>
      <w:r w:rsidRPr="006C4745">
        <w:t xml:space="preserve"> </w:t>
      </w:r>
      <w:hyperlink r:id="rId8" w:history="1">
        <w:r w:rsidRPr="006C4745">
          <w:rPr>
            <w:rStyle w:val="Hyperlink"/>
            <w:bCs w:val="0"/>
            <w:sz w:val="24"/>
            <w:szCs w:val="24"/>
          </w:rPr>
          <w:t xml:space="preserve">http://www.depts.ttu.edu/oppol/Chapter04.pdf </w:t>
        </w:r>
      </w:hyperlink>
      <w:r w:rsidRPr="006C4745">
        <w:rPr>
          <w:bCs w:val="0"/>
          <w:sz w:val="24"/>
          <w:szCs w:val="24"/>
        </w:rPr>
        <w:t xml:space="preserve"> </w:t>
      </w:r>
    </w:p>
    <w:p w:rsidR="003A0283" w:rsidRPr="006C4745" w:rsidRDefault="003A0283" w:rsidP="003A0283">
      <w:pPr>
        <w:pStyle w:val="Heading1"/>
        <w:shd w:val="clear" w:color="auto" w:fill="FFFFFF"/>
        <w:spacing w:before="0" w:beforeAutospacing="0" w:after="0" w:afterAutospacing="0"/>
        <w:rPr>
          <w:bCs w:val="0"/>
          <w:sz w:val="24"/>
          <w:szCs w:val="24"/>
        </w:rPr>
      </w:pPr>
    </w:p>
    <w:p w:rsidR="003A0283" w:rsidRPr="006C4745" w:rsidRDefault="003A0283" w:rsidP="003A0283">
      <w:pPr>
        <w:pStyle w:val="Heading1"/>
        <w:shd w:val="clear" w:color="auto" w:fill="FFFFFF"/>
        <w:spacing w:before="0" w:beforeAutospacing="0" w:after="0" w:afterAutospacing="0"/>
        <w:rPr>
          <w:bCs w:val="0"/>
          <w:sz w:val="24"/>
          <w:szCs w:val="24"/>
        </w:rPr>
      </w:pPr>
      <w:r w:rsidRPr="006C4745">
        <w:rPr>
          <w:bCs w:val="0"/>
          <w:sz w:val="24"/>
          <w:szCs w:val="24"/>
        </w:rPr>
        <w:t xml:space="preserve">SACSCOC 2012 Principles of Accreditation C.S. 3.4.10 </w:t>
      </w:r>
      <w:hyperlink r:id="rId9" w:history="1">
        <w:r w:rsidRPr="006C4745">
          <w:rPr>
            <w:rStyle w:val="Hyperlink"/>
            <w:rFonts w:eastAsiaTheme="majorEastAsia"/>
            <w:bCs w:val="0"/>
            <w:sz w:val="24"/>
            <w:szCs w:val="24"/>
          </w:rPr>
          <w:t>http://www.sacscoc.org/pdf/2012PrinciplesOfAcreditation.pdf</w:t>
        </w:r>
      </w:hyperlink>
      <w:r w:rsidRPr="006C4745">
        <w:rPr>
          <w:bCs w:val="0"/>
          <w:sz w:val="24"/>
          <w:szCs w:val="24"/>
        </w:rPr>
        <w:t xml:space="preserve"> </w:t>
      </w:r>
    </w:p>
    <w:p w:rsidR="003A0283" w:rsidRPr="006C4745" w:rsidRDefault="003A0283" w:rsidP="003A0283">
      <w:pPr>
        <w:autoSpaceDE w:val="0"/>
        <w:autoSpaceDN w:val="0"/>
        <w:adjustRightInd w:val="0"/>
        <w:spacing w:after="0" w:line="240" w:lineRule="auto"/>
        <w:rPr>
          <w:bCs/>
          <w:sz w:val="24"/>
          <w:szCs w:val="24"/>
        </w:rPr>
      </w:pPr>
      <w:r w:rsidRPr="006C4745">
        <w:rPr>
          <w:rFonts w:ascii="Times New Roman" w:hAnsi="Times New Roman" w:cs="Times New Roman"/>
          <w:color w:val="8B644F"/>
          <w:sz w:val="24"/>
          <w:szCs w:val="24"/>
        </w:rPr>
        <w:t xml:space="preserve">3.4.10 </w:t>
      </w:r>
      <w:proofErr w:type="gramStart"/>
      <w:r w:rsidRPr="006C4745">
        <w:rPr>
          <w:rFonts w:ascii="Times New Roman" w:hAnsi="Times New Roman" w:cs="Times New Roman"/>
          <w:color w:val="231F20"/>
          <w:sz w:val="24"/>
          <w:szCs w:val="24"/>
        </w:rPr>
        <w:t>The</w:t>
      </w:r>
      <w:proofErr w:type="gramEnd"/>
      <w:r w:rsidRPr="006C4745">
        <w:rPr>
          <w:rFonts w:ascii="Times New Roman" w:hAnsi="Times New Roman" w:cs="Times New Roman"/>
          <w:color w:val="231F20"/>
          <w:sz w:val="24"/>
          <w:szCs w:val="24"/>
        </w:rPr>
        <w:t xml:space="preserve"> institution places primary responsibility for the content, quality,</w:t>
      </w:r>
      <w:r>
        <w:rPr>
          <w:rFonts w:ascii="Times New Roman" w:hAnsi="Times New Roman" w:cs="Times New Roman"/>
          <w:color w:val="231F20"/>
          <w:sz w:val="24"/>
          <w:szCs w:val="24"/>
        </w:rPr>
        <w:t xml:space="preserve"> </w:t>
      </w:r>
      <w:r w:rsidRPr="006C4745">
        <w:rPr>
          <w:rFonts w:ascii="Times New Roman" w:hAnsi="Times New Roman" w:cs="Times New Roman"/>
          <w:color w:val="231F20"/>
          <w:sz w:val="24"/>
          <w:szCs w:val="24"/>
        </w:rPr>
        <w:t xml:space="preserve">and effectiveness of the curriculum with its faculty. </w:t>
      </w:r>
      <w:r w:rsidRPr="006C4745">
        <w:rPr>
          <w:rFonts w:ascii="Times New Roman" w:hAnsi="Times New Roman" w:cs="Times New Roman"/>
          <w:b/>
          <w:bCs/>
          <w:color w:val="231F20"/>
          <w:sz w:val="24"/>
          <w:szCs w:val="24"/>
        </w:rPr>
        <w:t>(Responsibility for</w:t>
      </w:r>
      <w:r>
        <w:rPr>
          <w:rFonts w:ascii="Times New Roman" w:hAnsi="Times New Roman" w:cs="Times New Roman"/>
          <w:b/>
          <w:bCs/>
          <w:color w:val="231F20"/>
          <w:sz w:val="24"/>
          <w:szCs w:val="24"/>
        </w:rPr>
        <w:t xml:space="preserve"> </w:t>
      </w:r>
      <w:r w:rsidRPr="006C4745">
        <w:rPr>
          <w:rFonts w:ascii="Times New Roman" w:hAnsi="Times New Roman" w:cs="Times New Roman"/>
          <w:b/>
          <w:color w:val="231F20"/>
          <w:sz w:val="24"/>
          <w:szCs w:val="24"/>
        </w:rPr>
        <w:t>curriculum</w:t>
      </w:r>
      <w:r w:rsidRPr="006C4745">
        <w:rPr>
          <w:color w:val="231F20"/>
          <w:sz w:val="24"/>
          <w:szCs w:val="24"/>
        </w:rPr>
        <w:t>)</w:t>
      </w:r>
    </w:p>
    <w:p w:rsidR="003A0283" w:rsidRPr="006C4745" w:rsidRDefault="003A0283" w:rsidP="003A0283">
      <w:pPr>
        <w:pStyle w:val="Heading1"/>
        <w:shd w:val="clear" w:color="auto" w:fill="FFFFFF"/>
        <w:spacing w:before="0" w:beforeAutospacing="0" w:after="0" w:afterAutospacing="0"/>
        <w:rPr>
          <w:bCs w:val="0"/>
          <w:sz w:val="24"/>
          <w:szCs w:val="24"/>
        </w:rPr>
      </w:pPr>
    </w:p>
    <w:p w:rsidR="003A0283" w:rsidRPr="006C4745" w:rsidRDefault="003A0283" w:rsidP="003A0283">
      <w:pPr>
        <w:pStyle w:val="Heading1"/>
        <w:shd w:val="clear" w:color="auto" w:fill="FFFFFF"/>
        <w:spacing w:before="0" w:beforeAutospacing="0" w:after="0" w:afterAutospacing="0"/>
        <w:rPr>
          <w:bCs w:val="0"/>
          <w:sz w:val="24"/>
          <w:szCs w:val="24"/>
        </w:rPr>
      </w:pPr>
      <w:r w:rsidRPr="006C4745">
        <w:rPr>
          <w:bCs w:val="0"/>
          <w:sz w:val="24"/>
          <w:szCs w:val="24"/>
        </w:rPr>
        <w:t xml:space="preserve">AAUP Policies in the Classroom:  </w:t>
      </w:r>
      <w:hyperlink r:id="rId10" w:history="1">
        <w:r w:rsidRPr="006C4745">
          <w:rPr>
            <w:rStyle w:val="Hyperlink"/>
            <w:rFonts w:eastAsiaTheme="majorEastAsia"/>
            <w:bCs w:val="0"/>
            <w:sz w:val="24"/>
            <w:szCs w:val="24"/>
          </w:rPr>
          <w:t>http://www.aaup.org/our-work/government-relations/past-campaigns-academic-bill-rights/aaup-policies-classroom</w:t>
        </w:r>
      </w:hyperlink>
      <w:r w:rsidRPr="006C4745">
        <w:rPr>
          <w:bCs w:val="0"/>
          <w:sz w:val="24"/>
          <w:szCs w:val="24"/>
        </w:rPr>
        <w:t xml:space="preserve"> </w:t>
      </w:r>
    </w:p>
    <w:p w:rsidR="003A0283" w:rsidRDefault="003A0283" w:rsidP="003A0283">
      <w:pPr>
        <w:pStyle w:val="Heading1"/>
        <w:shd w:val="clear" w:color="auto" w:fill="FFFFFF"/>
        <w:spacing w:before="0" w:beforeAutospacing="0" w:after="0" w:afterAutospacing="0"/>
        <w:rPr>
          <w:bCs w:val="0"/>
          <w:sz w:val="24"/>
          <w:szCs w:val="24"/>
          <w:highlight w:val="yellow"/>
        </w:rPr>
      </w:pPr>
    </w:p>
    <w:p w:rsidR="003A0283" w:rsidRPr="003752E6" w:rsidRDefault="003A0283" w:rsidP="003A0283">
      <w:pPr>
        <w:pStyle w:val="Heading1"/>
        <w:shd w:val="clear" w:color="auto" w:fill="FFFFFF"/>
        <w:spacing w:before="0" w:beforeAutospacing="0" w:after="0" w:afterAutospacing="0"/>
        <w:rPr>
          <w:bCs w:val="0"/>
          <w:sz w:val="24"/>
          <w:szCs w:val="24"/>
        </w:rPr>
      </w:pPr>
      <w:r w:rsidRPr="006C4745">
        <w:rPr>
          <w:bCs w:val="0"/>
          <w:sz w:val="24"/>
          <w:szCs w:val="24"/>
        </w:rPr>
        <w:t xml:space="preserve">AAUP </w:t>
      </w:r>
      <w:r w:rsidRPr="006C4745">
        <w:rPr>
          <w:sz w:val="24"/>
          <w:szCs w:val="24"/>
        </w:rPr>
        <w:t xml:space="preserve">1940 Statement of Principles on Academic Freedom and </w:t>
      </w:r>
      <w:proofErr w:type="gramStart"/>
      <w:r w:rsidRPr="006C4745">
        <w:rPr>
          <w:sz w:val="24"/>
          <w:szCs w:val="24"/>
        </w:rPr>
        <w:t xml:space="preserve">Tenure </w:t>
      </w:r>
      <w:r w:rsidRPr="006C4745">
        <w:rPr>
          <w:bCs w:val="0"/>
          <w:sz w:val="24"/>
          <w:szCs w:val="24"/>
        </w:rPr>
        <w:t xml:space="preserve"> </w:t>
      </w:r>
      <w:proofErr w:type="gramEnd"/>
      <w:r>
        <w:fldChar w:fldCharType="begin"/>
      </w:r>
      <w:r>
        <w:instrText xml:space="preserve"> HYPERLINK "http://www.aaup.org/report/1940-statement-principles-academic-freedom-and-tenure" </w:instrText>
      </w:r>
      <w:r>
        <w:fldChar w:fldCharType="separate"/>
      </w:r>
      <w:r w:rsidRPr="006C4745">
        <w:rPr>
          <w:rStyle w:val="Hyperlink"/>
          <w:bCs w:val="0"/>
          <w:sz w:val="24"/>
          <w:szCs w:val="24"/>
        </w:rPr>
        <w:t>http://www.aaup.org/report/1940-statement-principles-academic-freedom-and-tenure</w:t>
      </w:r>
      <w:r>
        <w:rPr>
          <w:rStyle w:val="Hyperlink"/>
          <w:bCs w:val="0"/>
          <w:sz w:val="24"/>
          <w:szCs w:val="24"/>
        </w:rPr>
        <w:fldChar w:fldCharType="end"/>
      </w:r>
    </w:p>
    <w:p w:rsidR="003A0283" w:rsidRPr="00AA7D00" w:rsidRDefault="003A0283" w:rsidP="003A0283">
      <w:pPr>
        <w:shd w:val="clear" w:color="auto" w:fill="FFFFFF"/>
        <w:spacing w:after="0" w:line="240" w:lineRule="auto"/>
        <w:rPr>
          <w:rFonts w:ascii="Times New Roman" w:hAnsi="Times New Roman" w:cs="Times New Roman"/>
        </w:rPr>
      </w:pPr>
    </w:p>
    <w:p w:rsidR="003A0283" w:rsidRPr="004F4468" w:rsidRDefault="003A0283" w:rsidP="003A0283">
      <w:pPr>
        <w:shd w:val="clear" w:color="auto" w:fill="FFFFFF"/>
        <w:spacing w:after="0" w:line="240" w:lineRule="auto"/>
        <w:rPr>
          <w:rFonts w:ascii="Times New Roman" w:eastAsia="Times New Roman" w:hAnsi="Times New Roman" w:cs="Times New Roman"/>
          <w:sz w:val="24"/>
          <w:szCs w:val="24"/>
        </w:rPr>
      </w:pPr>
      <w:r w:rsidRPr="004F4468">
        <w:rPr>
          <w:rFonts w:ascii="Times New Roman" w:eastAsia="Times New Roman" w:hAnsi="Times New Roman" w:cs="Times New Roman"/>
          <w:sz w:val="24"/>
          <w:szCs w:val="24"/>
        </w:rPr>
        <w:t>There is a clear expectation across the College of Education that all tenure track faculty will discharge their respective teaching duties fully over the course of an academic year.  In most cases this is a 2/2 regular course load.  When classes do not have suitable enrollment, faculty will be reassigned alternative teaching responsibilities.  In order to maintain equitable teaching loads across the entire college, faculty reassignment will be done in the following priority order:</w:t>
      </w:r>
    </w:p>
    <w:p w:rsidR="003A0283" w:rsidRPr="004F4468" w:rsidRDefault="003A0283" w:rsidP="003A028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4F4468">
        <w:rPr>
          <w:rFonts w:ascii="Times New Roman" w:eastAsia="Times New Roman" w:hAnsi="Times New Roman" w:cs="Times New Roman"/>
          <w:sz w:val="24"/>
          <w:szCs w:val="24"/>
        </w:rPr>
        <w:t>replacing adjuncts tentatively contracted to teach in their program and/or team teaching in cases where enrollment is unusually high,</w:t>
      </w:r>
    </w:p>
    <w:p w:rsidR="003A0283" w:rsidRPr="004F4468" w:rsidRDefault="003A0283" w:rsidP="003A028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4F4468">
        <w:rPr>
          <w:rFonts w:ascii="Times New Roman" w:eastAsia="Times New Roman" w:hAnsi="Times New Roman" w:cs="Times New Roman"/>
          <w:sz w:val="24"/>
          <w:szCs w:val="24"/>
        </w:rPr>
        <w:t>within their respective program area for courses they are qualified to teach,</w:t>
      </w:r>
    </w:p>
    <w:p w:rsidR="003A0283" w:rsidRPr="004F4468" w:rsidRDefault="003A0283" w:rsidP="003A028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4F4468">
        <w:rPr>
          <w:rFonts w:ascii="Times New Roman" w:eastAsia="Times New Roman" w:hAnsi="Times New Roman" w:cs="Times New Roman"/>
          <w:sz w:val="24"/>
          <w:szCs w:val="24"/>
        </w:rPr>
        <w:t>outside the program area for courses they are qualified to teach, or</w:t>
      </w:r>
    </w:p>
    <w:p w:rsidR="00293B67" w:rsidRPr="004F4468" w:rsidRDefault="003A0283" w:rsidP="004333C5">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proofErr w:type="gramStart"/>
      <w:r w:rsidRPr="004F4468">
        <w:rPr>
          <w:rFonts w:ascii="Times New Roman" w:eastAsia="Times New Roman" w:hAnsi="Times New Roman" w:cs="Times New Roman"/>
          <w:sz w:val="24"/>
          <w:szCs w:val="24"/>
        </w:rPr>
        <w:t>across</w:t>
      </w:r>
      <w:proofErr w:type="gramEnd"/>
      <w:r w:rsidRPr="004F4468">
        <w:rPr>
          <w:rFonts w:ascii="Times New Roman" w:eastAsia="Times New Roman" w:hAnsi="Times New Roman" w:cs="Times New Roman"/>
          <w:sz w:val="24"/>
          <w:szCs w:val="24"/>
        </w:rPr>
        <w:t xml:space="preserve"> the college where a "generalist" preparation qualifies faculty for other generalist teaching responsibilities.</w:t>
      </w:r>
    </w:p>
    <w:sectPr w:rsidR="00293B67" w:rsidRPr="004F4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D6985"/>
    <w:multiLevelType w:val="hybridMultilevel"/>
    <w:tmpl w:val="DF4CEE60"/>
    <w:lvl w:ilvl="0" w:tplc="80FA8ECE">
      <w:start w:val="1"/>
      <w:numFmt w:val="decimal"/>
      <w:lvlText w:val="%1)"/>
      <w:lvlJc w:val="left"/>
      <w:pPr>
        <w:ind w:left="615" w:hanging="55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83"/>
    <w:rsid w:val="00293B67"/>
    <w:rsid w:val="002D128E"/>
    <w:rsid w:val="003A0283"/>
    <w:rsid w:val="004043EA"/>
    <w:rsid w:val="004333C5"/>
    <w:rsid w:val="004F4468"/>
    <w:rsid w:val="0055674A"/>
    <w:rsid w:val="00596968"/>
    <w:rsid w:val="009A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64A29-3A78-4450-8941-B0F8C93C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283"/>
  </w:style>
  <w:style w:type="paragraph" w:styleId="Heading1">
    <w:name w:val="heading 1"/>
    <w:basedOn w:val="Normal"/>
    <w:link w:val="Heading1Char"/>
    <w:uiPriority w:val="9"/>
    <w:qFormat/>
    <w:rsid w:val="003A02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28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A0283"/>
    <w:rPr>
      <w:color w:val="0000FF"/>
      <w:u w:val="single"/>
    </w:rPr>
  </w:style>
  <w:style w:type="paragraph" w:styleId="ListParagraph">
    <w:name w:val="List Paragraph"/>
    <w:basedOn w:val="Normal"/>
    <w:uiPriority w:val="34"/>
    <w:qFormat/>
    <w:rsid w:val="003A0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ts.ttu.edu/oppol/Chapter04.pdf%20%20" TargetMode="External"/><Relationship Id="rId3" Type="http://schemas.openxmlformats.org/officeDocument/2006/relationships/styles" Target="styles.xml"/><Relationship Id="rId7" Type="http://schemas.openxmlformats.org/officeDocument/2006/relationships/hyperlink" Target="http://www.depts.ttu.edu/officialpublications/pdfs/2016-17_Faculty_Handbook.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pts.ttu.edu/opmanual/OP32.06.pdf%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aup.org/our-work/government-relations/past-campaigns-academic-bill-rights/aaup-policies-classroom" TargetMode="External"/><Relationship Id="rId4" Type="http://schemas.openxmlformats.org/officeDocument/2006/relationships/settings" Target="settings.xml"/><Relationship Id="rId9" Type="http://schemas.openxmlformats.org/officeDocument/2006/relationships/hyperlink" Target="http://www.sacscoc.org/pdf/2012PrinciplesOfAcredi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CB2C1-2D2E-44AC-A177-9D5ED2DB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Paton</dc:creator>
  <cp:lastModifiedBy>Valerie Paton</cp:lastModifiedBy>
  <cp:revision>3</cp:revision>
  <dcterms:created xsi:type="dcterms:W3CDTF">2016-12-28T17:28:00Z</dcterms:created>
  <dcterms:modified xsi:type="dcterms:W3CDTF">2016-12-28T17:51:00Z</dcterms:modified>
</cp:coreProperties>
</file>