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EA" w:rsidRDefault="006020EA" w:rsidP="006020EA">
      <w:pPr>
        <w:spacing w:after="0" w:line="259" w:lineRule="auto"/>
        <w:jc w:val="center"/>
        <w:rPr>
          <w:rFonts w:ascii="Times New Roman" w:hAnsi="Times New Roman" w:cs="Times New Roman"/>
          <w:b/>
          <w:bCs/>
          <w:sz w:val="28"/>
          <w:szCs w:val="44"/>
        </w:rPr>
      </w:pPr>
      <w:r w:rsidRPr="006A36E6">
        <w:rPr>
          <w:rFonts w:ascii="Times New Roman" w:hAnsi="Times New Roman" w:cs="Times New Roman"/>
          <w:b/>
          <w:bCs/>
          <w:sz w:val="28"/>
          <w:szCs w:val="44"/>
        </w:rPr>
        <w:t>Resolution of Student Concerns/Complaints</w:t>
      </w:r>
    </w:p>
    <w:p w:rsidR="00300377" w:rsidRDefault="00300377" w:rsidP="00300377">
      <w:pPr>
        <w:spacing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Approved by College of Education Tenured/Tenure-Track Faculty Vote </w:t>
      </w:r>
    </w:p>
    <w:p w:rsidR="00300377" w:rsidRDefault="00300377" w:rsidP="00300377">
      <w:pPr>
        <w:spacing w:after="0" w:line="256" w:lineRule="auto"/>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conducted</w:t>
      </w:r>
      <w:proofErr w:type="gramEnd"/>
      <w:r>
        <w:rPr>
          <w:rFonts w:ascii="Times New Roman" w:hAnsi="Times New Roman" w:cs="Times New Roman"/>
          <w:b/>
          <w:bCs/>
          <w:sz w:val="24"/>
          <w:szCs w:val="24"/>
        </w:rPr>
        <w:t xml:space="preserve"> via email; completed on 12.15.16)</w:t>
      </w:r>
    </w:p>
    <w:p w:rsidR="00300377" w:rsidRDefault="00300377" w:rsidP="006020EA">
      <w:pPr>
        <w:spacing w:after="0" w:line="259" w:lineRule="auto"/>
        <w:jc w:val="center"/>
        <w:rPr>
          <w:rFonts w:ascii="Times New Roman" w:hAnsi="Times New Roman" w:cs="Times New Roman"/>
          <w:b/>
          <w:bCs/>
          <w:sz w:val="28"/>
          <w:szCs w:val="44"/>
        </w:rPr>
      </w:pPr>
    </w:p>
    <w:p w:rsidR="006020EA" w:rsidRPr="003752E6" w:rsidRDefault="006020EA" w:rsidP="006020EA">
      <w:pPr>
        <w:pStyle w:val="Heading1"/>
        <w:shd w:val="clear" w:color="auto" w:fill="FFFFFF"/>
        <w:spacing w:before="0" w:beforeAutospacing="0" w:after="0" w:afterAutospacing="0"/>
        <w:rPr>
          <w:bCs w:val="0"/>
          <w:sz w:val="24"/>
          <w:szCs w:val="24"/>
        </w:rPr>
      </w:pPr>
      <w:r w:rsidRPr="003752E6">
        <w:rPr>
          <w:bCs w:val="0"/>
          <w:sz w:val="24"/>
          <w:szCs w:val="24"/>
        </w:rPr>
        <w:t>Sources of Authority</w:t>
      </w:r>
    </w:p>
    <w:p w:rsidR="006020EA" w:rsidRDefault="006020EA" w:rsidP="006020EA">
      <w:pPr>
        <w:pStyle w:val="Heading1"/>
        <w:shd w:val="clear" w:color="auto" w:fill="FFFFFF"/>
        <w:spacing w:before="0" w:beforeAutospacing="0" w:after="0" w:afterAutospacing="0"/>
        <w:rPr>
          <w:bCs w:val="0"/>
          <w:sz w:val="24"/>
          <w:szCs w:val="24"/>
          <w:highlight w:val="yellow"/>
        </w:rPr>
      </w:pPr>
    </w:p>
    <w:p w:rsidR="006020EA" w:rsidRPr="00495850" w:rsidRDefault="006020EA" w:rsidP="006020EA">
      <w:pPr>
        <w:pStyle w:val="Heading1"/>
        <w:shd w:val="clear" w:color="auto" w:fill="FFFFFF"/>
        <w:spacing w:before="0" w:beforeAutospacing="0" w:after="0" w:afterAutospacing="0"/>
        <w:rPr>
          <w:bCs w:val="0"/>
          <w:sz w:val="24"/>
          <w:szCs w:val="24"/>
        </w:rPr>
      </w:pPr>
      <w:r w:rsidRPr="00495850">
        <w:rPr>
          <w:bCs w:val="0"/>
          <w:sz w:val="24"/>
          <w:szCs w:val="24"/>
        </w:rPr>
        <w:t xml:space="preserve">Student Complaints and Grievances (includes all OP </w:t>
      </w:r>
      <w:proofErr w:type="gramStart"/>
      <w:r w:rsidRPr="00495850">
        <w:rPr>
          <w:bCs w:val="0"/>
          <w:sz w:val="24"/>
          <w:szCs w:val="24"/>
        </w:rPr>
        <w:t>references )</w:t>
      </w:r>
      <w:proofErr w:type="gramEnd"/>
    </w:p>
    <w:p w:rsidR="006020EA" w:rsidRDefault="00FE1655" w:rsidP="006020EA">
      <w:pPr>
        <w:pStyle w:val="Heading1"/>
        <w:shd w:val="clear" w:color="auto" w:fill="FFFFFF"/>
        <w:spacing w:before="0" w:beforeAutospacing="0" w:after="0" w:afterAutospacing="0"/>
        <w:ind w:firstLine="720"/>
        <w:rPr>
          <w:bCs w:val="0"/>
          <w:sz w:val="24"/>
          <w:szCs w:val="24"/>
        </w:rPr>
      </w:pPr>
      <w:hyperlink r:id="rId5" w:history="1">
        <w:r w:rsidR="006020EA" w:rsidRPr="00495850">
          <w:rPr>
            <w:rStyle w:val="Hyperlink"/>
            <w:rFonts w:eastAsiaTheme="majorEastAsia"/>
            <w:bCs w:val="0"/>
            <w:sz w:val="24"/>
            <w:szCs w:val="24"/>
          </w:rPr>
          <w:t>http://www.depts.ttu.edu/studentresolutioncenter/complaints.php</w:t>
        </w:r>
      </w:hyperlink>
      <w:r w:rsidR="006020EA" w:rsidRPr="00495850">
        <w:rPr>
          <w:bCs w:val="0"/>
          <w:sz w:val="24"/>
          <w:szCs w:val="24"/>
        </w:rPr>
        <w:t xml:space="preserve"> </w:t>
      </w:r>
    </w:p>
    <w:p w:rsidR="00FE1655" w:rsidRPr="00495850" w:rsidRDefault="00FE1655" w:rsidP="006020EA">
      <w:pPr>
        <w:pStyle w:val="Heading1"/>
        <w:shd w:val="clear" w:color="auto" w:fill="FFFFFF"/>
        <w:spacing w:before="0" w:beforeAutospacing="0" w:after="0" w:afterAutospacing="0"/>
        <w:ind w:firstLine="720"/>
        <w:rPr>
          <w:bCs w:val="0"/>
          <w:sz w:val="24"/>
          <w:szCs w:val="24"/>
        </w:rPr>
      </w:pPr>
    </w:p>
    <w:p w:rsidR="006020EA" w:rsidRDefault="006020EA" w:rsidP="006020EA">
      <w:pPr>
        <w:pStyle w:val="Heading1"/>
        <w:shd w:val="clear" w:color="auto" w:fill="FFFFFF"/>
        <w:spacing w:before="0" w:beforeAutospacing="0" w:after="0" w:afterAutospacing="0"/>
        <w:rPr>
          <w:rStyle w:val="Hyperlink"/>
          <w:bCs w:val="0"/>
          <w:sz w:val="24"/>
          <w:szCs w:val="24"/>
        </w:rPr>
      </w:pPr>
      <w:r w:rsidRPr="00495850">
        <w:rPr>
          <w:bCs w:val="0"/>
          <w:sz w:val="24"/>
          <w:szCs w:val="24"/>
        </w:rPr>
        <w:t xml:space="preserve">Texas Tech Regents Rules 05.05: </w:t>
      </w:r>
      <w:hyperlink r:id="rId6" w:history="1">
        <w:r w:rsidRPr="00300377">
          <w:rPr>
            <w:rStyle w:val="Hyperlink"/>
            <w:bCs w:val="0"/>
            <w:sz w:val="24"/>
            <w:szCs w:val="24"/>
          </w:rPr>
          <w:t>http://www.depts.ttu.edu/oppol/Chapter05.pdf</w:t>
        </w:r>
      </w:hyperlink>
    </w:p>
    <w:p w:rsidR="00FE1655" w:rsidRPr="00495850" w:rsidRDefault="00FE1655" w:rsidP="006020EA">
      <w:pPr>
        <w:pStyle w:val="Heading1"/>
        <w:shd w:val="clear" w:color="auto" w:fill="FFFFFF"/>
        <w:spacing w:before="0" w:beforeAutospacing="0" w:after="0" w:afterAutospacing="0"/>
        <w:rPr>
          <w:bCs w:val="0"/>
          <w:sz w:val="24"/>
          <w:szCs w:val="24"/>
        </w:rPr>
      </w:pPr>
    </w:p>
    <w:p w:rsidR="006020EA" w:rsidRPr="00495850" w:rsidRDefault="006020EA" w:rsidP="006020EA">
      <w:pPr>
        <w:pStyle w:val="Heading1"/>
        <w:shd w:val="clear" w:color="auto" w:fill="FFFFFF"/>
        <w:spacing w:before="0" w:beforeAutospacing="0" w:after="0" w:afterAutospacing="0"/>
        <w:rPr>
          <w:bCs w:val="0"/>
          <w:sz w:val="24"/>
          <w:szCs w:val="24"/>
        </w:rPr>
      </w:pPr>
      <w:r w:rsidRPr="00495850">
        <w:rPr>
          <w:bCs w:val="0"/>
          <w:sz w:val="24"/>
          <w:szCs w:val="24"/>
        </w:rPr>
        <w:t xml:space="preserve">SACSCOC 2012 Principles of Accreditation: </w:t>
      </w:r>
    </w:p>
    <w:p w:rsidR="006020EA" w:rsidRPr="00495850" w:rsidRDefault="006020EA" w:rsidP="006020EA">
      <w:pPr>
        <w:autoSpaceDE w:val="0"/>
        <w:autoSpaceDN w:val="0"/>
        <w:adjustRightInd w:val="0"/>
        <w:spacing w:after="0" w:line="240" w:lineRule="auto"/>
        <w:ind w:left="720"/>
        <w:rPr>
          <w:rFonts w:ascii="Times New Roman" w:hAnsi="Times New Roman" w:cs="Times New Roman"/>
          <w:color w:val="231F20"/>
          <w:sz w:val="24"/>
          <w:szCs w:val="24"/>
        </w:rPr>
      </w:pPr>
      <w:bookmarkStart w:id="0" w:name="_GoBack"/>
      <w:bookmarkEnd w:id="0"/>
      <w:r w:rsidRPr="00495850">
        <w:rPr>
          <w:rFonts w:ascii="Times New Roman" w:hAnsi="Times New Roman" w:cs="Times New Roman"/>
          <w:color w:val="8B644F"/>
          <w:sz w:val="24"/>
          <w:szCs w:val="24"/>
        </w:rPr>
        <w:t xml:space="preserve">3.9.1 </w:t>
      </w:r>
      <w:r w:rsidRPr="00495850">
        <w:rPr>
          <w:rFonts w:ascii="Times New Roman" w:hAnsi="Times New Roman" w:cs="Times New Roman"/>
          <w:color w:val="231F20"/>
          <w:sz w:val="24"/>
          <w:szCs w:val="24"/>
        </w:rPr>
        <w:t>The institution publishes a clear and appropriate statement of student rights and responsibilities and disseminates the statement to the campus</w:t>
      </w:r>
    </w:p>
    <w:p w:rsidR="006020EA" w:rsidRPr="00495850" w:rsidRDefault="006020EA" w:rsidP="006020EA">
      <w:pPr>
        <w:autoSpaceDE w:val="0"/>
        <w:autoSpaceDN w:val="0"/>
        <w:adjustRightInd w:val="0"/>
        <w:spacing w:after="0" w:line="240" w:lineRule="auto"/>
        <w:ind w:left="720"/>
        <w:rPr>
          <w:rFonts w:ascii="Times New Roman" w:hAnsi="Times New Roman" w:cs="Times New Roman"/>
          <w:b/>
          <w:bCs/>
          <w:color w:val="231F20"/>
          <w:sz w:val="24"/>
          <w:szCs w:val="24"/>
        </w:rPr>
      </w:pPr>
      <w:proofErr w:type="gramStart"/>
      <w:r w:rsidRPr="00495850">
        <w:rPr>
          <w:rFonts w:ascii="Times New Roman" w:hAnsi="Times New Roman" w:cs="Times New Roman"/>
          <w:color w:val="231F20"/>
          <w:sz w:val="24"/>
          <w:szCs w:val="24"/>
        </w:rPr>
        <w:t>community</w:t>
      </w:r>
      <w:proofErr w:type="gramEnd"/>
      <w:r w:rsidRPr="00495850">
        <w:rPr>
          <w:rFonts w:ascii="Times New Roman" w:hAnsi="Times New Roman" w:cs="Times New Roman"/>
          <w:color w:val="231F20"/>
          <w:sz w:val="24"/>
          <w:szCs w:val="24"/>
        </w:rPr>
        <w:t xml:space="preserve">. </w:t>
      </w:r>
      <w:r w:rsidRPr="00495850">
        <w:rPr>
          <w:rFonts w:ascii="Times New Roman" w:hAnsi="Times New Roman" w:cs="Times New Roman"/>
          <w:b/>
          <w:bCs/>
          <w:color w:val="231F20"/>
          <w:sz w:val="24"/>
          <w:szCs w:val="24"/>
        </w:rPr>
        <w:t>(Student rights)</w:t>
      </w:r>
    </w:p>
    <w:p w:rsidR="006020EA" w:rsidRPr="00495850" w:rsidRDefault="006020EA" w:rsidP="006020EA">
      <w:pPr>
        <w:autoSpaceDE w:val="0"/>
        <w:autoSpaceDN w:val="0"/>
        <w:adjustRightInd w:val="0"/>
        <w:spacing w:after="0" w:line="240" w:lineRule="auto"/>
        <w:ind w:left="720"/>
        <w:rPr>
          <w:rFonts w:ascii="Times New Roman" w:hAnsi="Times New Roman" w:cs="Times New Roman"/>
          <w:bCs/>
          <w:sz w:val="24"/>
          <w:szCs w:val="24"/>
        </w:rPr>
      </w:pPr>
      <w:r w:rsidRPr="00495850">
        <w:rPr>
          <w:rFonts w:ascii="Times New Roman" w:hAnsi="Times New Roman" w:cs="Times New Roman"/>
          <w:color w:val="8B644F"/>
          <w:sz w:val="24"/>
          <w:szCs w:val="24"/>
        </w:rPr>
        <w:t xml:space="preserve">3.9.2 </w:t>
      </w:r>
      <w:r w:rsidRPr="00495850">
        <w:rPr>
          <w:rFonts w:ascii="Times New Roman" w:hAnsi="Times New Roman" w:cs="Times New Roman"/>
          <w:color w:val="231F20"/>
          <w:sz w:val="24"/>
          <w:szCs w:val="24"/>
        </w:rPr>
        <w:t>The institution protects the security, confidentiality, and integrity of student records and maintains security measures to protect and back up data. (Student records)</w:t>
      </w:r>
    </w:p>
    <w:p w:rsidR="006020EA" w:rsidRPr="00495850" w:rsidRDefault="006020EA" w:rsidP="006020EA">
      <w:pPr>
        <w:autoSpaceDE w:val="0"/>
        <w:autoSpaceDN w:val="0"/>
        <w:adjustRightInd w:val="0"/>
        <w:spacing w:after="0" w:line="240" w:lineRule="auto"/>
        <w:ind w:left="720"/>
        <w:rPr>
          <w:rFonts w:ascii="Times New Roman" w:hAnsi="Times New Roman" w:cs="Times New Roman"/>
          <w:color w:val="231F20"/>
          <w:sz w:val="24"/>
          <w:szCs w:val="24"/>
        </w:rPr>
      </w:pPr>
      <w:r w:rsidRPr="00495850">
        <w:rPr>
          <w:rFonts w:ascii="Times New Roman" w:hAnsi="Times New Roman" w:cs="Times New Roman"/>
          <w:color w:val="8B644F"/>
          <w:sz w:val="24"/>
          <w:szCs w:val="24"/>
        </w:rPr>
        <w:t xml:space="preserve">4.3 </w:t>
      </w:r>
      <w:r w:rsidRPr="00495850">
        <w:rPr>
          <w:rFonts w:ascii="Times New Roman" w:hAnsi="Times New Roman" w:cs="Times New Roman"/>
          <w:color w:val="231F20"/>
          <w:sz w:val="24"/>
          <w:szCs w:val="24"/>
        </w:rPr>
        <w:t>The institution makes available to students and the public current academic calendars, grading policies, and refund policies. (Publication of policies)</w:t>
      </w:r>
    </w:p>
    <w:p w:rsidR="006020EA" w:rsidRPr="00495850" w:rsidRDefault="006020EA" w:rsidP="006020EA">
      <w:pPr>
        <w:autoSpaceDE w:val="0"/>
        <w:autoSpaceDN w:val="0"/>
        <w:adjustRightInd w:val="0"/>
        <w:spacing w:after="0" w:line="240" w:lineRule="auto"/>
        <w:ind w:left="720"/>
        <w:rPr>
          <w:rFonts w:ascii="Times New Roman" w:hAnsi="Times New Roman" w:cs="Times New Roman"/>
          <w:color w:val="231F20"/>
          <w:sz w:val="24"/>
          <w:szCs w:val="24"/>
        </w:rPr>
      </w:pPr>
      <w:r w:rsidRPr="00495850">
        <w:rPr>
          <w:rFonts w:ascii="Times New Roman" w:hAnsi="Times New Roman" w:cs="Times New Roman"/>
          <w:color w:val="8B644F"/>
          <w:sz w:val="24"/>
          <w:szCs w:val="24"/>
        </w:rPr>
        <w:t xml:space="preserve">4.5 </w:t>
      </w:r>
      <w:r w:rsidRPr="00495850">
        <w:rPr>
          <w:rFonts w:ascii="Times New Roman" w:hAnsi="Times New Roman" w:cs="Times New Roman"/>
          <w:color w:val="231F20"/>
          <w:sz w:val="24"/>
          <w:szCs w:val="24"/>
        </w:rPr>
        <w:t>The institution has adequate procedures for addressing written student complaints</w:t>
      </w:r>
    </w:p>
    <w:p w:rsidR="006020EA" w:rsidRPr="00495850" w:rsidRDefault="006020EA" w:rsidP="006020EA">
      <w:pPr>
        <w:autoSpaceDE w:val="0"/>
        <w:autoSpaceDN w:val="0"/>
        <w:adjustRightInd w:val="0"/>
        <w:spacing w:after="0" w:line="240" w:lineRule="auto"/>
        <w:ind w:left="720"/>
        <w:rPr>
          <w:rFonts w:ascii="Times New Roman" w:hAnsi="Times New Roman" w:cs="Times New Roman"/>
          <w:color w:val="231F20"/>
          <w:sz w:val="24"/>
          <w:szCs w:val="24"/>
        </w:rPr>
      </w:pPr>
      <w:proofErr w:type="gramStart"/>
      <w:r w:rsidRPr="00495850">
        <w:rPr>
          <w:rFonts w:ascii="Times New Roman" w:hAnsi="Times New Roman" w:cs="Times New Roman"/>
          <w:color w:val="231F20"/>
          <w:sz w:val="24"/>
          <w:szCs w:val="24"/>
        </w:rPr>
        <w:t>and</w:t>
      </w:r>
      <w:proofErr w:type="gramEnd"/>
      <w:r w:rsidRPr="00495850">
        <w:rPr>
          <w:rFonts w:ascii="Times New Roman" w:hAnsi="Times New Roman" w:cs="Times New Roman"/>
          <w:color w:val="231F20"/>
          <w:sz w:val="24"/>
          <w:szCs w:val="24"/>
        </w:rPr>
        <w:t xml:space="preserve"> is responsible for demonstrating that it follows those procedures</w:t>
      </w:r>
    </w:p>
    <w:p w:rsidR="006020EA" w:rsidRPr="00495850" w:rsidRDefault="006020EA" w:rsidP="006020EA">
      <w:pPr>
        <w:autoSpaceDE w:val="0"/>
        <w:autoSpaceDN w:val="0"/>
        <w:adjustRightInd w:val="0"/>
        <w:spacing w:after="0" w:line="240" w:lineRule="auto"/>
        <w:ind w:left="720"/>
        <w:rPr>
          <w:rFonts w:ascii="Times New Roman" w:hAnsi="Times New Roman" w:cs="Times New Roman"/>
          <w:bCs/>
          <w:sz w:val="24"/>
          <w:szCs w:val="24"/>
        </w:rPr>
      </w:pPr>
      <w:proofErr w:type="gramStart"/>
      <w:r w:rsidRPr="00495850">
        <w:rPr>
          <w:rFonts w:ascii="Times New Roman" w:hAnsi="Times New Roman" w:cs="Times New Roman"/>
          <w:color w:val="231F20"/>
          <w:sz w:val="24"/>
          <w:szCs w:val="24"/>
        </w:rPr>
        <w:t>when</w:t>
      </w:r>
      <w:proofErr w:type="gramEnd"/>
      <w:r w:rsidRPr="00495850">
        <w:rPr>
          <w:rFonts w:ascii="Times New Roman" w:hAnsi="Times New Roman" w:cs="Times New Roman"/>
          <w:color w:val="231F20"/>
          <w:sz w:val="24"/>
          <w:szCs w:val="24"/>
        </w:rPr>
        <w:t xml:space="preserve"> resolving student complaints. </w:t>
      </w:r>
      <w:r w:rsidRPr="00495850">
        <w:rPr>
          <w:rFonts w:ascii="Times New Roman" w:hAnsi="Times New Roman" w:cs="Times New Roman"/>
          <w:i/>
          <w:iCs/>
          <w:color w:val="231F20"/>
          <w:sz w:val="24"/>
          <w:szCs w:val="24"/>
        </w:rPr>
        <w:t xml:space="preserve">(See Commission policy “Complaint Procedures against the Commission or its Accredited Institutions.”) </w:t>
      </w:r>
      <w:r w:rsidRPr="00495850">
        <w:rPr>
          <w:rFonts w:ascii="Times New Roman" w:hAnsi="Times New Roman" w:cs="Times New Roman"/>
          <w:color w:val="231F20"/>
          <w:sz w:val="24"/>
          <w:szCs w:val="24"/>
        </w:rPr>
        <w:t>(Student complaints)</w:t>
      </w:r>
    </w:p>
    <w:p w:rsidR="006020EA" w:rsidRDefault="00FE1655" w:rsidP="006020EA">
      <w:pPr>
        <w:pStyle w:val="Heading1"/>
        <w:shd w:val="clear" w:color="auto" w:fill="FFFFFF"/>
        <w:spacing w:before="0" w:beforeAutospacing="0" w:after="0" w:afterAutospacing="0"/>
        <w:ind w:firstLine="720"/>
        <w:rPr>
          <w:bCs w:val="0"/>
          <w:sz w:val="24"/>
          <w:szCs w:val="24"/>
        </w:rPr>
      </w:pPr>
      <w:hyperlink r:id="rId7" w:history="1">
        <w:r w:rsidR="006020EA" w:rsidRPr="00495850">
          <w:rPr>
            <w:rStyle w:val="Hyperlink"/>
            <w:rFonts w:eastAsiaTheme="majorEastAsia"/>
            <w:bCs w:val="0"/>
            <w:sz w:val="24"/>
            <w:szCs w:val="24"/>
          </w:rPr>
          <w:t>http://www.sacscoc.org/pdf/2012PrinciplesOfAcreditation.pdf</w:t>
        </w:r>
      </w:hyperlink>
      <w:r w:rsidR="006020EA" w:rsidRPr="003752E6">
        <w:rPr>
          <w:bCs w:val="0"/>
          <w:sz w:val="24"/>
          <w:szCs w:val="24"/>
        </w:rPr>
        <w:t xml:space="preserve"> </w:t>
      </w:r>
    </w:p>
    <w:p w:rsidR="00FE1655" w:rsidRPr="003752E6" w:rsidRDefault="00FE1655" w:rsidP="006020EA">
      <w:pPr>
        <w:pStyle w:val="Heading1"/>
        <w:shd w:val="clear" w:color="auto" w:fill="FFFFFF"/>
        <w:spacing w:before="0" w:beforeAutospacing="0" w:after="0" w:afterAutospacing="0"/>
        <w:ind w:firstLine="720"/>
        <w:rPr>
          <w:bCs w:val="0"/>
          <w:sz w:val="24"/>
          <w:szCs w:val="24"/>
        </w:rPr>
      </w:pPr>
    </w:p>
    <w:p w:rsidR="006020EA" w:rsidRPr="003752E6" w:rsidRDefault="006020EA" w:rsidP="006020EA">
      <w:pPr>
        <w:pStyle w:val="Heading1"/>
        <w:shd w:val="clear" w:color="auto" w:fill="FFFFFF"/>
        <w:spacing w:before="0" w:beforeAutospacing="0" w:after="0" w:afterAutospacing="0"/>
        <w:rPr>
          <w:bCs w:val="0"/>
          <w:sz w:val="24"/>
          <w:szCs w:val="24"/>
        </w:rPr>
      </w:pPr>
      <w:r w:rsidRPr="003752E6">
        <w:rPr>
          <w:bCs w:val="0"/>
          <w:sz w:val="24"/>
          <w:szCs w:val="24"/>
        </w:rPr>
        <w:t xml:space="preserve">AAUP: </w:t>
      </w:r>
      <w:hyperlink r:id="rId8" w:history="1">
        <w:r w:rsidRPr="003752E6">
          <w:rPr>
            <w:rStyle w:val="Hyperlink"/>
            <w:rFonts w:eastAsiaTheme="majorEastAsia"/>
            <w:bCs w:val="0"/>
            <w:sz w:val="24"/>
            <w:szCs w:val="24"/>
          </w:rPr>
          <w:t>http://www.aaup.org/</w:t>
        </w:r>
      </w:hyperlink>
      <w:r w:rsidRPr="003752E6">
        <w:rPr>
          <w:bCs w:val="0"/>
          <w:sz w:val="24"/>
          <w:szCs w:val="24"/>
        </w:rPr>
        <w:t xml:space="preserve"> </w:t>
      </w:r>
    </w:p>
    <w:p w:rsidR="006020EA" w:rsidRPr="00300377" w:rsidRDefault="006020EA" w:rsidP="006020EA">
      <w:pPr>
        <w:pStyle w:val="NormalWeb"/>
        <w:shd w:val="clear" w:color="auto" w:fill="FFFFFF"/>
        <w:spacing w:after="0"/>
      </w:pPr>
      <w:r w:rsidRPr="00300377">
        <w:t>Faculty or staff member should attempt to resolve student complaints or problems, but only if it is appropriate for them to do so, and in a man</w:t>
      </w:r>
      <w:r w:rsidR="00300377">
        <w:t>ner consistent with established pr</w:t>
      </w:r>
      <w:r w:rsidRPr="00300377">
        <w:t>ocedures.  Concerns should be settled in an efficient, consistent manner, making certain the rights of all individuals are preserved and due process is followed.</w:t>
      </w:r>
    </w:p>
    <w:p w:rsidR="006020EA" w:rsidRPr="00300377" w:rsidRDefault="006020EA" w:rsidP="00300377">
      <w:pPr>
        <w:pStyle w:val="NormalWeb"/>
        <w:shd w:val="clear" w:color="auto" w:fill="FFFFFF"/>
        <w:spacing w:after="0"/>
      </w:pPr>
      <w:r w:rsidRPr="00300377">
        <w:t>Student complaints in the College of Education are resolved in a manner consistent with university operating policies and procedures such as the following:</w:t>
      </w:r>
      <w:r w:rsidR="00300377">
        <w:t xml:space="preserve"> </w:t>
      </w:r>
      <w:r w:rsidRPr="00300377">
        <w:rPr>
          <w:rFonts w:eastAsiaTheme="majorEastAsia"/>
        </w:rPr>
        <w:t>OP 34.03: Student</w:t>
      </w:r>
      <w:r w:rsidR="00300377">
        <w:rPr>
          <w:rFonts w:eastAsiaTheme="majorEastAsia"/>
        </w:rPr>
        <w:t xml:space="preserve"> Grade Appeal; </w:t>
      </w:r>
      <w:r w:rsidRPr="00300377">
        <w:t>OP 34.04: Academic Regulations</w:t>
      </w:r>
      <w:r w:rsidRPr="00300377">
        <w:rPr>
          <w:rFonts w:eastAsiaTheme="majorEastAsia"/>
        </w:rPr>
        <w:t xml:space="preserve"> Concerning Student Performance</w:t>
      </w:r>
      <w:r w:rsidRPr="00300377">
        <w:t>;</w:t>
      </w:r>
      <w:r w:rsidR="00300377">
        <w:t xml:space="preserve"> </w:t>
      </w:r>
      <w:hyperlink r:id="rId9" w:history="1">
        <w:r w:rsidRPr="00300377">
          <w:rPr>
            <w:rStyle w:val="Hyperlink"/>
            <w:rFonts w:eastAsiaTheme="majorEastAsia"/>
            <w:color w:val="auto"/>
            <w:u w:val="none"/>
          </w:rPr>
          <w:t>OP 34.12: Grading Procedures</w:t>
        </w:r>
        <w:r w:rsidR="00300377">
          <w:rPr>
            <w:rStyle w:val="Hyperlink"/>
            <w:rFonts w:eastAsiaTheme="majorEastAsia"/>
            <w:color w:val="auto"/>
            <w:u w:val="none"/>
          </w:rPr>
          <w:t>.</w:t>
        </w:r>
      </w:hyperlink>
    </w:p>
    <w:p w:rsidR="006020EA" w:rsidRPr="00300377" w:rsidRDefault="006020EA" w:rsidP="006020EA">
      <w:pPr>
        <w:pStyle w:val="NoSpacing"/>
        <w:rPr>
          <w:rFonts w:ascii="Times New Roman" w:hAnsi="Times New Roman" w:cs="Times New Roman"/>
          <w:sz w:val="24"/>
        </w:rPr>
      </w:pPr>
      <w:r w:rsidRPr="00300377">
        <w:rPr>
          <w:rFonts w:ascii="Times New Roman" w:hAnsi="Times New Roman" w:cs="Times New Roman"/>
          <w:sz w:val="24"/>
        </w:rPr>
        <w:t>Furthermore, a "chain of communication" is to be followed as problems are addressed.  Generally, this means the student should first discuss the concern with the faculty member most directly involved, e.g., the course instructor or clinical supervisor.  If the problem is not resolved, an increasingly higher level of supervisors becomes involved as follows:</w:t>
      </w:r>
    </w:p>
    <w:p w:rsidR="006020EA" w:rsidRPr="00300377" w:rsidRDefault="006020EA" w:rsidP="006020EA">
      <w:pPr>
        <w:pStyle w:val="NoSpacing"/>
        <w:numPr>
          <w:ilvl w:val="0"/>
          <w:numId w:val="1"/>
        </w:numPr>
        <w:rPr>
          <w:rFonts w:ascii="Times New Roman" w:hAnsi="Times New Roman" w:cs="Times New Roman"/>
          <w:sz w:val="24"/>
        </w:rPr>
      </w:pPr>
      <w:r w:rsidRPr="00300377">
        <w:rPr>
          <w:rFonts w:ascii="Times New Roman" w:hAnsi="Times New Roman" w:cs="Times New Roman"/>
          <w:sz w:val="24"/>
        </w:rPr>
        <w:t>faculty member(s) most directly involved;</w:t>
      </w:r>
    </w:p>
    <w:p w:rsidR="006020EA" w:rsidRPr="007F6FFF" w:rsidRDefault="006020EA" w:rsidP="006020EA">
      <w:pPr>
        <w:pStyle w:val="NoSpacing"/>
        <w:numPr>
          <w:ilvl w:val="0"/>
          <w:numId w:val="1"/>
        </w:numPr>
        <w:rPr>
          <w:rFonts w:ascii="Times New Roman" w:hAnsi="Times New Roman" w:cs="Times New Roman"/>
          <w:sz w:val="24"/>
        </w:rPr>
      </w:pPr>
      <w:r w:rsidRPr="00300377">
        <w:rPr>
          <w:rFonts w:ascii="Times New Roman" w:hAnsi="Times New Roman" w:cs="Times New Roman"/>
          <w:sz w:val="24"/>
        </w:rPr>
        <w:t xml:space="preserve">department Chairperson or specific office administrator (e.g. Coordinator of Student </w:t>
      </w:r>
      <w:r w:rsidRPr="007F6FFF">
        <w:rPr>
          <w:rFonts w:ascii="Times New Roman" w:hAnsi="Times New Roman" w:cs="Times New Roman"/>
          <w:sz w:val="24"/>
        </w:rPr>
        <w:t>Teaching or Coordinator of Field Experiences);</w:t>
      </w:r>
    </w:p>
    <w:p w:rsidR="006020EA" w:rsidRPr="007F6FFF" w:rsidRDefault="006020EA" w:rsidP="006020EA">
      <w:pPr>
        <w:pStyle w:val="NoSpacing"/>
        <w:numPr>
          <w:ilvl w:val="0"/>
          <w:numId w:val="1"/>
        </w:numPr>
        <w:rPr>
          <w:rFonts w:ascii="Times New Roman" w:hAnsi="Times New Roman" w:cs="Times New Roman"/>
          <w:sz w:val="24"/>
        </w:rPr>
      </w:pPr>
      <w:r w:rsidRPr="007F6FFF">
        <w:rPr>
          <w:rFonts w:ascii="Times New Roman" w:hAnsi="Times New Roman" w:cs="Times New Roman"/>
          <w:sz w:val="24"/>
        </w:rPr>
        <w:t>appropriate Associate Dean or Certification Officer; and</w:t>
      </w:r>
    </w:p>
    <w:p w:rsidR="00293B67" w:rsidRDefault="006020EA" w:rsidP="006020EA">
      <w:r w:rsidRPr="0042065C">
        <w:rPr>
          <w:rFonts w:ascii="Times New Roman" w:hAnsi="Times New Roman" w:cs="Times New Roman"/>
          <w:sz w:val="24"/>
        </w:rPr>
        <w:lastRenderedPageBreak/>
        <w:t xml:space="preserve">Dean of the appropriate college (often the dean of the College of Education, but for example with grade appeals, may </w:t>
      </w:r>
      <w:r>
        <w:rPr>
          <w:rFonts w:ascii="Times New Roman" w:hAnsi="Times New Roman" w:cs="Times New Roman"/>
          <w:sz w:val="24"/>
        </w:rPr>
        <w:t>be the dean of another college)</w:t>
      </w:r>
      <w:r w:rsidR="00300377">
        <w:rPr>
          <w:rFonts w:ascii="Times New Roman" w:hAnsi="Times New Roman" w:cs="Times New Roman"/>
          <w:sz w:val="24"/>
        </w:rPr>
        <w:t>.</w:t>
      </w:r>
    </w:p>
    <w:sectPr w:rsidR="00293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617F6"/>
    <w:multiLevelType w:val="hybridMultilevel"/>
    <w:tmpl w:val="B536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EA"/>
    <w:rsid w:val="00293B67"/>
    <w:rsid w:val="00300377"/>
    <w:rsid w:val="003D0431"/>
    <w:rsid w:val="00471513"/>
    <w:rsid w:val="006020EA"/>
    <w:rsid w:val="00B501EF"/>
    <w:rsid w:val="00E46283"/>
    <w:rsid w:val="00FE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2B9D0-9D28-4450-AF45-194525A1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EA"/>
  </w:style>
  <w:style w:type="paragraph" w:styleId="Heading1">
    <w:name w:val="heading 1"/>
    <w:basedOn w:val="Normal"/>
    <w:link w:val="Heading1Char"/>
    <w:uiPriority w:val="9"/>
    <w:qFormat/>
    <w:rsid w:val="006020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0E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020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20EA"/>
    <w:rPr>
      <w:color w:val="0000FF"/>
      <w:u w:val="single"/>
    </w:rPr>
  </w:style>
  <w:style w:type="paragraph" w:styleId="NoSpacing">
    <w:name w:val="No Spacing"/>
    <w:link w:val="NoSpacingChar"/>
    <w:uiPriority w:val="1"/>
    <w:qFormat/>
    <w:rsid w:val="006020EA"/>
    <w:pPr>
      <w:spacing w:after="0" w:line="240" w:lineRule="auto"/>
    </w:pPr>
  </w:style>
  <w:style w:type="character" w:customStyle="1" w:styleId="NoSpacingChar">
    <w:name w:val="No Spacing Char"/>
    <w:basedOn w:val="DefaultParagraphFont"/>
    <w:link w:val="NoSpacing"/>
    <w:uiPriority w:val="1"/>
    <w:rsid w:val="00602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0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up.org/" TargetMode="External"/><Relationship Id="rId3" Type="http://schemas.openxmlformats.org/officeDocument/2006/relationships/settings" Target="settings.xml"/><Relationship Id="rId7" Type="http://schemas.openxmlformats.org/officeDocument/2006/relationships/hyperlink" Target="http://www.sacscoc.org/pdf/2012PrinciplesOfAcredit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pts.ttu.edu/oppol/Chapter05.pdf" TargetMode="External"/><Relationship Id="rId11" Type="http://schemas.openxmlformats.org/officeDocument/2006/relationships/theme" Target="theme/theme1.xml"/><Relationship Id="rId5" Type="http://schemas.openxmlformats.org/officeDocument/2006/relationships/hyperlink" Target="http://www.depts.ttu.edu/studentresolutioncenter/complaints.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pts.ttu.edu/opmanual/OP34.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Texas Tech University</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Paton</dc:creator>
  <cp:lastModifiedBy>Valerie Paton</cp:lastModifiedBy>
  <cp:revision>4</cp:revision>
  <dcterms:created xsi:type="dcterms:W3CDTF">2016-12-28T17:36:00Z</dcterms:created>
  <dcterms:modified xsi:type="dcterms:W3CDTF">2016-12-28T17:57:00Z</dcterms:modified>
</cp:coreProperties>
</file>