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E6" w:rsidRDefault="00DB68E6">
      <w:pPr>
        <w:rPr>
          <w:rFonts w:ascii="Arial" w:hAnsi="Arial" w:cs="Arial"/>
          <w:b/>
          <w:u w:val="single"/>
        </w:rPr>
      </w:pPr>
    </w:p>
    <w:p w:rsidR="00DB68E6" w:rsidRDefault="00DB68E6">
      <w:pPr>
        <w:rPr>
          <w:rFonts w:ascii="Arial" w:hAnsi="Arial" w:cs="Arial"/>
          <w:b/>
          <w:u w:val="single"/>
        </w:rPr>
      </w:pPr>
    </w:p>
    <w:p w:rsidR="00DB68E6" w:rsidRDefault="00DB68E6">
      <w:pPr>
        <w:rPr>
          <w:rFonts w:ascii="Arial" w:hAnsi="Arial" w:cs="Arial"/>
          <w:b/>
          <w:u w:val="single"/>
        </w:rPr>
      </w:pPr>
    </w:p>
    <w:p w:rsidR="00DB68E6" w:rsidRDefault="00DB68E6">
      <w:pPr>
        <w:rPr>
          <w:rFonts w:ascii="Arial" w:hAnsi="Arial" w:cs="Arial"/>
          <w:b/>
          <w:u w:val="single"/>
        </w:rPr>
      </w:pPr>
    </w:p>
    <w:p w:rsidR="00DB68E6" w:rsidRDefault="00DB68E6" w:rsidP="00DB68E6">
      <w:pPr>
        <w:jc w:val="center"/>
        <w:rPr>
          <w:rFonts w:ascii="Arial" w:hAnsi="Arial" w:cs="Arial"/>
          <w:b/>
          <w:color w:val="B60311"/>
          <w:sz w:val="56"/>
          <w:szCs w:val="24"/>
        </w:rPr>
      </w:pPr>
      <w:r>
        <w:rPr>
          <w:rFonts w:ascii="Arial" w:hAnsi="Arial" w:cs="Arial"/>
          <w:b/>
          <w:color w:val="B60311"/>
          <w:sz w:val="56"/>
          <w:szCs w:val="24"/>
        </w:rPr>
        <w:t xml:space="preserve">HANDBOOK </w:t>
      </w:r>
    </w:p>
    <w:p w:rsidR="00DB68E6" w:rsidRPr="00AF78F2" w:rsidRDefault="00DB68E6" w:rsidP="00DB68E6">
      <w:pPr>
        <w:jc w:val="center"/>
        <w:rPr>
          <w:rFonts w:ascii="Arial" w:hAnsi="Arial" w:cs="Arial"/>
          <w:i/>
          <w:sz w:val="36"/>
          <w:szCs w:val="24"/>
        </w:rPr>
      </w:pPr>
      <w:r>
        <w:rPr>
          <w:rFonts w:ascii="Arial" w:hAnsi="Arial" w:cs="Arial"/>
          <w:i/>
          <w:sz w:val="36"/>
          <w:szCs w:val="24"/>
        </w:rPr>
        <w:t>for</w:t>
      </w:r>
      <w:r w:rsidRPr="00AF78F2">
        <w:rPr>
          <w:rFonts w:ascii="Arial" w:hAnsi="Arial" w:cs="Arial"/>
          <w:i/>
          <w:sz w:val="36"/>
          <w:szCs w:val="24"/>
        </w:rPr>
        <w:t xml:space="preserve"> </w:t>
      </w:r>
    </w:p>
    <w:p w:rsidR="00DB68E6" w:rsidRPr="00AF78F2" w:rsidRDefault="00DB68E6" w:rsidP="00DB68E6">
      <w:pPr>
        <w:jc w:val="center"/>
        <w:rPr>
          <w:rFonts w:ascii="Arial" w:hAnsi="Arial" w:cs="Arial"/>
          <w:b/>
          <w:color w:val="B60311"/>
          <w:sz w:val="48"/>
          <w:szCs w:val="64"/>
        </w:rPr>
      </w:pPr>
      <w:r>
        <w:rPr>
          <w:rFonts w:ascii="Arial" w:hAnsi="Arial" w:cs="Arial"/>
          <w:b/>
          <w:color w:val="B60311"/>
          <w:sz w:val="48"/>
          <w:szCs w:val="64"/>
        </w:rPr>
        <w:t>RESEARCH ASSISTANTS</w:t>
      </w:r>
    </w:p>
    <w:p w:rsidR="00DB68E6" w:rsidRPr="00AF78F2" w:rsidRDefault="00DB68E6" w:rsidP="00DB68E6">
      <w:pPr>
        <w:rPr>
          <w:rFonts w:ascii="Arial" w:hAnsi="Arial" w:cs="Arial"/>
          <w:b/>
          <w:sz w:val="24"/>
          <w:szCs w:val="24"/>
        </w:rPr>
      </w:pPr>
    </w:p>
    <w:p w:rsidR="00DB68E6" w:rsidRPr="00AF78F2" w:rsidRDefault="00DB68E6" w:rsidP="00DB68E6">
      <w:pPr>
        <w:rPr>
          <w:rFonts w:ascii="Arial" w:hAnsi="Arial" w:cs="Arial"/>
          <w:b/>
          <w:sz w:val="24"/>
          <w:szCs w:val="24"/>
        </w:rPr>
      </w:pPr>
    </w:p>
    <w:p w:rsidR="00DB68E6" w:rsidRDefault="00DB68E6" w:rsidP="00DB68E6">
      <w:pPr>
        <w:rPr>
          <w:rFonts w:ascii="Arial" w:hAnsi="Arial" w:cs="Arial"/>
          <w:b/>
          <w:sz w:val="24"/>
          <w:szCs w:val="24"/>
        </w:rPr>
      </w:pPr>
    </w:p>
    <w:p w:rsidR="00DB68E6" w:rsidRDefault="00DB68E6" w:rsidP="00DB68E6">
      <w:pPr>
        <w:rPr>
          <w:rFonts w:ascii="Arial" w:hAnsi="Arial" w:cs="Arial"/>
          <w:b/>
          <w:sz w:val="24"/>
          <w:szCs w:val="24"/>
        </w:rPr>
      </w:pPr>
    </w:p>
    <w:p w:rsidR="00DB68E6" w:rsidRDefault="00DB68E6" w:rsidP="00DB68E6">
      <w:pPr>
        <w:rPr>
          <w:rFonts w:ascii="Arial" w:hAnsi="Arial" w:cs="Arial"/>
          <w:b/>
          <w:sz w:val="24"/>
          <w:szCs w:val="24"/>
        </w:rPr>
      </w:pPr>
    </w:p>
    <w:p w:rsidR="00DB68E6" w:rsidRDefault="00DB68E6" w:rsidP="00DB68E6">
      <w:pPr>
        <w:rPr>
          <w:rFonts w:ascii="Arial" w:hAnsi="Arial" w:cs="Arial"/>
          <w:b/>
          <w:sz w:val="24"/>
          <w:szCs w:val="24"/>
        </w:rPr>
      </w:pPr>
    </w:p>
    <w:p w:rsidR="00DB68E6" w:rsidRDefault="00DB68E6" w:rsidP="00DB68E6">
      <w:pPr>
        <w:rPr>
          <w:rFonts w:ascii="Arial" w:hAnsi="Arial" w:cs="Arial"/>
          <w:b/>
          <w:sz w:val="24"/>
          <w:szCs w:val="24"/>
        </w:rPr>
      </w:pPr>
    </w:p>
    <w:p w:rsidR="00DB68E6" w:rsidRPr="00AF78F2" w:rsidRDefault="00DB68E6" w:rsidP="00DB68E6">
      <w:pPr>
        <w:rPr>
          <w:rFonts w:ascii="Arial" w:hAnsi="Arial" w:cs="Arial"/>
          <w:b/>
          <w:sz w:val="24"/>
          <w:szCs w:val="24"/>
        </w:rPr>
      </w:pPr>
    </w:p>
    <w:p w:rsidR="00DB68E6" w:rsidRPr="00AF78F2" w:rsidRDefault="00DB68E6" w:rsidP="00DB68E6">
      <w:pPr>
        <w:jc w:val="center"/>
        <w:rPr>
          <w:rFonts w:ascii="Arial" w:hAnsi="Arial" w:cs="Arial"/>
          <w:b/>
          <w:sz w:val="28"/>
          <w:szCs w:val="24"/>
        </w:rPr>
      </w:pPr>
      <w:r w:rsidRPr="00AF78F2">
        <w:rPr>
          <w:rFonts w:ascii="Arial" w:hAnsi="Arial" w:cs="Arial"/>
          <w:b/>
          <w:sz w:val="28"/>
          <w:szCs w:val="24"/>
        </w:rPr>
        <w:t>COLLEGE OF EDUCATION</w:t>
      </w:r>
    </w:p>
    <w:p w:rsidR="00DB68E6" w:rsidRPr="00AF78F2" w:rsidRDefault="00DB68E6" w:rsidP="00DB68E6">
      <w:pPr>
        <w:jc w:val="center"/>
        <w:rPr>
          <w:rFonts w:ascii="Arial" w:hAnsi="Arial" w:cs="Arial"/>
          <w:b/>
          <w:sz w:val="28"/>
          <w:szCs w:val="24"/>
        </w:rPr>
      </w:pPr>
      <w:r w:rsidRPr="00AF78F2">
        <w:rPr>
          <w:rFonts w:ascii="Arial" w:hAnsi="Arial" w:cs="Arial"/>
          <w:b/>
          <w:sz w:val="28"/>
          <w:szCs w:val="24"/>
        </w:rPr>
        <w:t>GRADUATE EDUCATION AND RESEARCH</w:t>
      </w:r>
    </w:p>
    <w:p w:rsidR="00DB68E6" w:rsidRPr="00AF78F2" w:rsidRDefault="00DB68E6" w:rsidP="00DB68E6">
      <w:pPr>
        <w:jc w:val="center"/>
        <w:rPr>
          <w:rFonts w:ascii="Arial" w:hAnsi="Arial" w:cs="Arial"/>
          <w:b/>
          <w:sz w:val="28"/>
          <w:szCs w:val="24"/>
        </w:rPr>
      </w:pPr>
      <w:r w:rsidRPr="00AF78F2">
        <w:rPr>
          <w:rFonts w:ascii="Arial" w:hAnsi="Arial" w:cs="Arial"/>
          <w:b/>
          <w:sz w:val="28"/>
          <w:szCs w:val="24"/>
        </w:rPr>
        <w:t>TEXAS TECH UNIVERSITY</w:t>
      </w:r>
    </w:p>
    <w:p w:rsidR="00DB68E6" w:rsidRPr="00AF78F2" w:rsidRDefault="00DB68E6" w:rsidP="00DB68E6">
      <w:pPr>
        <w:jc w:val="center"/>
        <w:rPr>
          <w:rFonts w:ascii="Arial" w:hAnsi="Arial" w:cs="Arial"/>
          <w:b/>
          <w:sz w:val="28"/>
          <w:szCs w:val="24"/>
        </w:rPr>
      </w:pPr>
      <w:r w:rsidRPr="00AF78F2">
        <w:rPr>
          <w:rFonts w:ascii="Arial" w:hAnsi="Arial" w:cs="Arial"/>
          <w:b/>
          <w:sz w:val="28"/>
          <w:szCs w:val="24"/>
        </w:rPr>
        <w:t>BOX 41071</w:t>
      </w:r>
    </w:p>
    <w:p w:rsidR="00DB68E6" w:rsidRPr="00AF78F2" w:rsidRDefault="00DB68E6" w:rsidP="00DB68E6">
      <w:pPr>
        <w:jc w:val="center"/>
        <w:rPr>
          <w:rFonts w:ascii="Arial" w:hAnsi="Arial" w:cs="Arial"/>
          <w:b/>
          <w:sz w:val="28"/>
          <w:szCs w:val="24"/>
        </w:rPr>
      </w:pPr>
      <w:r w:rsidRPr="00AF78F2">
        <w:rPr>
          <w:rFonts w:ascii="Arial" w:hAnsi="Arial" w:cs="Arial"/>
          <w:b/>
          <w:sz w:val="28"/>
          <w:szCs w:val="24"/>
        </w:rPr>
        <w:t>LUBBOCK, TX, 79409</w:t>
      </w:r>
    </w:p>
    <w:p w:rsidR="00DB68E6" w:rsidRPr="00AF78F2" w:rsidRDefault="00DB68E6" w:rsidP="00DB68E6">
      <w:pPr>
        <w:pBdr>
          <w:bottom w:val="single" w:sz="12" w:space="1" w:color="auto"/>
        </w:pBdr>
        <w:spacing w:line="240" w:lineRule="auto"/>
        <w:rPr>
          <w:rFonts w:ascii="Arial" w:hAnsi="Arial" w:cs="Arial"/>
          <w:b/>
          <w:sz w:val="24"/>
          <w:szCs w:val="24"/>
        </w:rPr>
      </w:pPr>
    </w:p>
    <w:p w:rsidR="00DB68E6" w:rsidRPr="00AF78F2" w:rsidRDefault="00DB68E6" w:rsidP="00DB68E6">
      <w:pPr>
        <w:pBdr>
          <w:bottom w:val="single" w:sz="12" w:space="1" w:color="auto"/>
        </w:pBdr>
        <w:spacing w:line="240" w:lineRule="auto"/>
        <w:rPr>
          <w:rFonts w:ascii="Arial" w:hAnsi="Arial" w:cs="Arial"/>
          <w:sz w:val="32"/>
          <w:szCs w:val="24"/>
        </w:rPr>
      </w:pPr>
    </w:p>
    <w:p w:rsidR="00DB68E6" w:rsidRDefault="00DB68E6">
      <w:pPr>
        <w:rPr>
          <w:rFonts w:ascii="Arial" w:hAnsi="Arial" w:cs="Arial"/>
          <w:b/>
          <w:u w:val="single"/>
        </w:rPr>
      </w:pPr>
    </w:p>
    <w:p w:rsidR="00DB68E6" w:rsidRDefault="00DB68E6">
      <w:pPr>
        <w:rPr>
          <w:rFonts w:ascii="Arial" w:hAnsi="Arial" w:cs="Arial"/>
          <w:b/>
          <w:u w:val="single"/>
        </w:rPr>
      </w:pPr>
      <w:r>
        <w:rPr>
          <w:rFonts w:ascii="Arial" w:hAnsi="Arial" w:cs="Arial"/>
          <w:b/>
          <w:u w:val="single"/>
        </w:rPr>
        <w:lastRenderedPageBreak/>
        <w:t>Greetings!</w:t>
      </w:r>
    </w:p>
    <w:p w:rsidR="00DB68E6" w:rsidRDefault="00DB68E6">
      <w:pPr>
        <w:rPr>
          <w:rFonts w:ascii="Arial" w:hAnsi="Arial" w:cs="Arial"/>
          <w:b/>
          <w:u w:val="single"/>
        </w:rPr>
      </w:pPr>
    </w:p>
    <w:p w:rsidR="00DB68E6" w:rsidRDefault="00DB68E6">
      <w:pPr>
        <w:rPr>
          <w:rFonts w:ascii="Arial" w:hAnsi="Arial" w:cs="Arial"/>
        </w:rPr>
      </w:pPr>
      <w:r>
        <w:rPr>
          <w:rFonts w:ascii="Arial" w:hAnsi="Arial" w:cs="Arial"/>
        </w:rPr>
        <w:t xml:space="preserve">Welcome to the College of Education at Texas Tech University!  We are excited to welcome you as a Research Assistant and look forward to supporting you in your educational journey.  We believe your work as a Research Assistant puts you in a unique position to learn from a team of accomplished professionals and </w:t>
      </w:r>
      <w:r w:rsidR="00C10EE3">
        <w:rPr>
          <w:rFonts w:ascii="Arial" w:hAnsi="Arial" w:cs="Arial"/>
        </w:rPr>
        <w:t>adds</w:t>
      </w:r>
      <w:r w:rsidR="006C39FB">
        <w:rPr>
          <w:rFonts w:ascii="Arial" w:hAnsi="Arial" w:cs="Arial"/>
        </w:rPr>
        <w:t xml:space="preserve"> to your </w:t>
      </w:r>
      <w:r>
        <w:rPr>
          <w:rFonts w:ascii="Arial" w:hAnsi="Arial" w:cs="Arial"/>
        </w:rPr>
        <w:t>success as a graduate student.</w:t>
      </w:r>
    </w:p>
    <w:p w:rsidR="00DB68E6" w:rsidRDefault="00DB68E6">
      <w:pPr>
        <w:rPr>
          <w:rFonts w:ascii="Arial" w:hAnsi="Arial" w:cs="Arial"/>
        </w:rPr>
      </w:pPr>
      <w:r>
        <w:rPr>
          <w:rFonts w:ascii="Arial" w:hAnsi="Arial" w:cs="Arial"/>
        </w:rPr>
        <w:t>We understand that as a student in the College of Education you will be focused on achieving success through your own studies and research.  We believe your experiences as a Research Assistant are equally important and, in fact, will have a compounding effect on your knowledge and skills.  As you work closely with faculty and research teams on projects, serving as a Research Assistant</w:t>
      </w:r>
      <w:r w:rsidR="006C39FB">
        <w:rPr>
          <w:rFonts w:ascii="Arial" w:hAnsi="Arial" w:cs="Arial"/>
        </w:rPr>
        <w:t xml:space="preserve"> may</w:t>
      </w:r>
      <w:r>
        <w:rPr>
          <w:rFonts w:ascii="Arial" w:hAnsi="Arial" w:cs="Arial"/>
        </w:rPr>
        <w:t xml:space="preserve"> </w:t>
      </w:r>
      <w:r w:rsidR="006C39FB">
        <w:rPr>
          <w:rFonts w:ascii="Arial" w:hAnsi="Arial" w:cs="Arial"/>
        </w:rPr>
        <w:t xml:space="preserve">feel </w:t>
      </w:r>
      <w:r>
        <w:rPr>
          <w:rFonts w:ascii="Arial" w:hAnsi="Arial" w:cs="Arial"/>
        </w:rPr>
        <w:t xml:space="preserve">like taking additional </w:t>
      </w:r>
      <w:r w:rsidR="006C39FB">
        <w:rPr>
          <w:rFonts w:ascii="Arial" w:hAnsi="Arial" w:cs="Arial"/>
        </w:rPr>
        <w:t>coursework</w:t>
      </w:r>
      <w:r>
        <w:rPr>
          <w:rFonts w:ascii="Arial" w:hAnsi="Arial" w:cs="Arial"/>
        </w:rPr>
        <w:t xml:space="preserve">.  It is normal to experience a steep learning curve in these endeavors as a new Research Assistant.  Fortunately, the Graduate Office has developed some resources and guidelines that are designed to demystify your work and </w:t>
      </w:r>
      <w:r w:rsidR="006C39FB">
        <w:rPr>
          <w:rFonts w:ascii="Arial" w:hAnsi="Arial" w:cs="Arial"/>
        </w:rPr>
        <w:t xml:space="preserve">support </w:t>
      </w:r>
      <w:r>
        <w:rPr>
          <w:rFonts w:ascii="Arial" w:hAnsi="Arial" w:cs="Arial"/>
        </w:rPr>
        <w:t>your success.</w:t>
      </w:r>
    </w:p>
    <w:p w:rsidR="00DB68E6" w:rsidRDefault="00DB68E6">
      <w:pPr>
        <w:rPr>
          <w:rFonts w:ascii="Arial" w:hAnsi="Arial" w:cs="Arial"/>
        </w:rPr>
      </w:pPr>
      <w:r>
        <w:rPr>
          <w:rFonts w:ascii="Arial" w:hAnsi="Arial" w:cs="Arial"/>
        </w:rPr>
        <w:t>In a</w:t>
      </w:r>
      <w:r w:rsidR="006C39FB">
        <w:rPr>
          <w:rFonts w:ascii="Arial" w:hAnsi="Arial" w:cs="Arial"/>
        </w:rPr>
        <w:t xml:space="preserve">ddition to resources available, </w:t>
      </w:r>
      <w:r>
        <w:rPr>
          <w:rFonts w:ascii="Arial" w:hAnsi="Arial" w:cs="Arial"/>
        </w:rPr>
        <w:t>this handbook was created to provide you with an outline of your roles and responsibilities as a Research Assistant and answer many preliminary questions you may have concerning supervision.  In addition, the handbook provides pertinent information regarding university policies and expectations for re</w:t>
      </w:r>
      <w:r w:rsidR="006C39FB">
        <w:rPr>
          <w:rFonts w:ascii="Arial" w:hAnsi="Arial" w:cs="Arial"/>
        </w:rPr>
        <w:t xml:space="preserve">sponsible conduct of research. </w:t>
      </w:r>
      <w:r>
        <w:rPr>
          <w:rFonts w:ascii="Arial" w:hAnsi="Arial" w:cs="Arial"/>
        </w:rPr>
        <w:t>Please be aware that your success at TTU, both as a student and employee, is ultimately linked to your personal awareness of and adherence to the policies in this handbook. Accordingly, please feel free to email, call, or stop by the Graduate Office in the College of Education for any questions you may ha</w:t>
      </w:r>
      <w:r w:rsidR="006C39FB">
        <w:rPr>
          <w:rFonts w:ascii="Arial" w:hAnsi="Arial" w:cs="Arial"/>
        </w:rPr>
        <w:t xml:space="preserve">ve or assistance you may need. </w:t>
      </w:r>
      <w:r>
        <w:rPr>
          <w:rFonts w:ascii="Arial" w:hAnsi="Arial" w:cs="Arial"/>
        </w:rPr>
        <w:t>We are here to help</w:t>
      </w:r>
      <w:r w:rsidR="006C39FB">
        <w:rPr>
          <w:rFonts w:ascii="Arial" w:hAnsi="Arial" w:cs="Arial"/>
        </w:rPr>
        <w:t xml:space="preserve"> you accomplish your academic goals</w:t>
      </w:r>
      <w:r>
        <w:rPr>
          <w:rFonts w:ascii="Arial" w:hAnsi="Arial" w:cs="Arial"/>
        </w:rPr>
        <w:t>!</w:t>
      </w:r>
    </w:p>
    <w:p w:rsidR="00DB68E6" w:rsidRDefault="00DB68E6">
      <w:pPr>
        <w:rPr>
          <w:rFonts w:ascii="Arial" w:hAnsi="Arial" w:cs="Arial"/>
        </w:rPr>
      </w:pPr>
    </w:p>
    <w:p w:rsidR="00DB68E6" w:rsidRDefault="00DB68E6">
      <w:pPr>
        <w:rPr>
          <w:rFonts w:ascii="Arial" w:hAnsi="Arial" w:cs="Arial"/>
        </w:rPr>
      </w:pPr>
      <w:r>
        <w:rPr>
          <w:rFonts w:ascii="Arial" w:hAnsi="Arial" w:cs="Arial"/>
        </w:rPr>
        <w:t xml:space="preserve">Mellinee Lesley </w:t>
      </w:r>
    </w:p>
    <w:p w:rsidR="00DB68E6" w:rsidRDefault="00DB68E6">
      <w:pPr>
        <w:rPr>
          <w:rFonts w:ascii="Arial" w:hAnsi="Arial" w:cs="Arial"/>
        </w:rPr>
      </w:pPr>
      <w:r>
        <w:rPr>
          <w:rFonts w:ascii="Arial" w:hAnsi="Arial" w:cs="Arial"/>
        </w:rPr>
        <w:t>Associate Dean of Graduate Education and Research</w:t>
      </w:r>
    </w:p>
    <w:p w:rsidR="00DB68E6" w:rsidRDefault="00DB68E6">
      <w:pPr>
        <w:rPr>
          <w:rFonts w:ascii="Arial" w:hAnsi="Arial" w:cs="Arial"/>
        </w:rPr>
      </w:pPr>
    </w:p>
    <w:p w:rsidR="00DB68E6" w:rsidRDefault="00DB68E6">
      <w:pPr>
        <w:rPr>
          <w:rFonts w:ascii="Arial" w:hAnsi="Arial" w:cs="Arial"/>
        </w:rPr>
      </w:pPr>
    </w:p>
    <w:p w:rsidR="00C676AE" w:rsidRDefault="00C676AE">
      <w:pPr>
        <w:rPr>
          <w:rFonts w:ascii="Arial" w:hAnsi="Arial" w:cs="Arial"/>
        </w:rPr>
      </w:pPr>
    </w:p>
    <w:p w:rsidR="00DB68E6" w:rsidRDefault="00DB68E6">
      <w:pPr>
        <w:rPr>
          <w:rFonts w:ascii="Arial" w:hAnsi="Arial" w:cs="Arial"/>
        </w:rPr>
      </w:pPr>
      <w:r>
        <w:rPr>
          <w:rFonts w:ascii="Arial" w:hAnsi="Arial" w:cs="Arial"/>
        </w:rPr>
        <w:t>Pam Smith</w:t>
      </w:r>
    </w:p>
    <w:p w:rsidR="00DB68E6" w:rsidRPr="00DB68E6" w:rsidRDefault="00DB68E6">
      <w:pPr>
        <w:rPr>
          <w:rFonts w:ascii="Arial" w:hAnsi="Arial" w:cs="Arial"/>
        </w:rPr>
      </w:pPr>
      <w:r>
        <w:rPr>
          <w:rFonts w:ascii="Arial" w:hAnsi="Arial" w:cs="Arial"/>
        </w:rPr>
        <w:t xml:space="preserve">RA/GPTI/Travel Coordinator </w:t>
      </w:r>
    </w:p>
    <w:p w:rsidR="00DB68E6" w:rsidRPr="00DB68E6" w:rsidRDefault="00DB68E6">
      <w:pPr>
        <w:rPr>
          <w:rFonts w:ascii="Times New Roman" w:hAnsi="Times New Roman" w:cs="Times New Roman"/>
          <w:b/>
          <w:sz w:val="24"/>
          <w:szCs w:val="24"/>
          <w:u w:val="single"/>
        </w:rPr>
      </w:pPr>
    </w:p>
    <w:p w:rsidR="00DB68E6" w:rsidRDefault="00DB68E6">
      <w:pPr>
        <w:rPr>
          <w:rFonts w:ascii="Arial" w:hAnsi="Arial" w:cs="Arial"/>
          <w:b/>
          <w:u w:val="single"/>
        </w:rPr>
      </w:pPr>
    </w:p>
    <w:p w:rsidR="00DB68E6" w:rsidRDefault="00DB68E6">
      <w:pPr>
        <w:rPr>
          <w:rFonts w:ascii="Arial" w:hAnsi="Arial" w:cs="Arial"/>
          <w:b/>
          <w:u w:val="single"/>
        </w:rPr>
      </w:pPr>
    </w:p>
    <w:p w:rsidR="00DB68E6" w:rsidRDefault="00DB68E6">
      <w:pPr>
        <w:rPr>
          <w:rFonts w:ascii="Arial" w:hAnsi="Arial" w:cs="Arial"/>
          <w:b/>
          <w:u w:val="single"/>
        </w:rPr>
      </w:pPr>
    </w:p>
    <w:p w:rsidR="007551C8" w:rsidRPr="00CB6667" w:rsidRDefault="000C2C6F">
      <w:pPr>
        <w:rPr>
          <w:rFonts w:ascii="Arial" w:hAnsi="Arial" w:cs="Arial"/>
          <w:b/>
          <w:i/>
          <w:u w:val="single"/>
        </w:rPr>
      </w:pPr>
      <w:r>
        <w:rPr>
          <w:rFonts w:ascii="Arial" w:hAnsi="Arial" w:cs="Arial"/>
          <w:b/>
          <w:u w:val="single"/>
        </w:rPr>
        <w:lastRenderedPageBreak/>
        <w:t>Conditions of Employment</w:t>
      </w:r>
    </w:p>
    <w:p w:rsidR="007551C8" w:rsidRDefault="007551C8">
      <w:pPr>
        <w:rPr>
          <w:rFonts w:ascii="Arial" w:hAnsi="Arial" w:cs="Arial"/>
        </w:rPr>
      </w:pPr>
      <w:r w:rsidRPr="00CB6667">
        <w:rPr>
          <w:rFonts w:ascii="Arial" w:hAnsi="Arial" w:cs="Arial"/>
        </w:rPr>
        <w:t xml:space="preserve">A student employee must be currently enrolled as a student at Texas Tech as a condition of employment and is expected to be in good academic standing and making satisfactory progress toward a degree. An individual previously enrolled as a student in the spring term, or who is expected to be enrolled in the fall term, may be employed as a student between the spring and fall terms. Note: Graduating students should be terminated at the end of the semester in which they graduate unless they are expected to enroll in the next semester or, in the case of spring graduates, the fall semester. The employing department has the authority and responsibility to determine initial and ongoing eligibility for student employment. Failure to meet the </w:t>
      </w:r>
      <w:r w:rsidR="000E605F" w:rsidRPr="00CB6667">
        <w:rPr>
          <w:rFonts w:ascii="Arial" w:hAnsi="Arial" w:cs="Arial"/>
        </w:rPr>
        <w:t>enrollment requirements will be grounds for the department to withdraw the students’ appointment and termination of employment status.</w:t>
      </w:r>
    </w:p>
    <w:p w:rsidR="000C2C6F" w:rsidRPr="00CB6667" w:rsidRDefault="00EA510C" w:rsidP="000C2C6F">
      <w:pPr>
        <w:jc w:val="right"/>
        <w:rPr>
          <w:rFonts w:ascii="Arial" w:hAnsi="Arial" w:cs="Arial"/>
        </w:rPr>
      </w:pPr>
      <w:hyperlink r:id="rId8" w:history="1">
        <w:r w:rsidR="000C2C6F" w:rsidRPr="000C2C6F">
          <w:rPr>
            <w:rStyle w:val="Hyperlink"/>
            <w:rFonts w:ascii="Arial" w:hAnsi="Arial" w:cs="Arial"/>
          </w:rPr>
          <w:t>O.P. 70.27</w:t>
        </w:r>
      </w:hyperlink>
    </w:p>
    <w:p w:rsidR="003275B9" w:rsidRDefault="003275B9">
      <w:pPr>
        <w:rPr>
          <w:rFonts w:ascii="Arial" w:hAnsi="Arial" w:cs="Arial"/>
          <w:b/>
          <w:u w:val="single"/>
        </w:rPr>
      </w:pPr>
      <w:r w:rsidRPr="00CB6667">
        <w:rPr>
          <w:rFonts w:ascii="Arial" w:hAnsi="Arial" w:cs="Arial"/>
          <w:b/>
          <w:u w:val="single"/>
        </w:rPr>
        <w:t>Eligibility</w:t>
      </w:r>
    </w:p>
    <w:p w:rsidR="006C39FB" w:rsidRPr="006C39FB" w:rsidRDefault="006C39FB">
      <w:pPr>
        <w:rPr>
          <w:rFonts w:ascii="Arial" w:hAnsi="Arial" w:cs="Arial"/>
        </w:rPr>
      </w:pPr>
      <w:r w:rsidRPr="006C39FB">
        <w:rPr>
          <w:rFonts w:ascii="Arial" w:hAnsi="Arial" w:cs="Arial"/>
        </w:rPr>
        <w:t>To become a Research Assistant</w:t>
      </w:r>
      <w:r w:rsidR="00C676AE">
        <w:rPr>
          <w:rFonts w:ascii="Arial" w:hAnsi="Arial" w:cs="Arial"/>
        </w:rPr>
        <w:t>, you must meet</w:t>
      </w:r>
      <w:r>
        <w:rPr>
          <w:rFonts w:ascii="Arial" w:hAnsi="Arial" w:cs="Arial"/>
        </w:rPr>
        <w:t xml:space="preserve"> the following requirements</w:t>
      </w:r>
      <w:r w:rsidRPr="006C39FB">
        <w:rPr>
          <w:rFonts w:ascii="Arial" w:hAnsi="Arial" w:cs="Arial"/>
        </w:rPr>
        <w:t>:</w:t>
      </w:r>
    </w:p>
    <w:p w:rsidR="003275B9" w:rsidRPr="00CB6667" w:rsidRDefault="003275B9" w:rsidP="00C676AE">
      <w:pPr>
        <w:pStyle w:val="ListParagraph"/>
        <w:numPr>
          <w:ilvl w:val="0"/>
          <w:numId w:val="1"/>
        </w:numPr>
        <w:rPr>
          <w:rFonts w:ascii="Arial" w:hAnsi="Arial" w:cs="Arial"/>
        </w:rPr>
      </w:pPr>
      <w:r w:rsidRPr="00CB6667">
        <w:rPr>
          <w:rFonts w:ascii="Arial" w:hAnsi="Arial" w:cs="Arial"/>
        </w:rPr>
        <w:t>Students must be admitt</w:t>
      </w:r>
      <w:r w:rsidR="00DB68E6">
        <w:rPr>
          <w:rFonts w:ascii="Arial" w:hAnsi="Arial" w:cs="Arial"/>
        </w:rPr>
        <w:t>ed to a graduate degree program</w:t>
      </w:r>
      <w:r w:rsidRPr="00CB6667">
        <w:rPr>
          <w:rFonts w:ascii="Arial" w:hAnsi="Arial" w:cs="Arial"/>
        </w:rPr>
        <w:t xml:space="preserve"> and </w:t>
      </w:r>
      <w:r w:rsidR="006C39FB">
        <w:rPr>
          <w:rFonts w:ascii="Arial" w:hAnsi="Arial" w:cs="Arial"/>
        </w:rPr>
        <w:t xml:space="preserve">be </w:t>
      </w:r>
      <w:r w:rsidRPr="00CB6667">
        <w:rPr>
          <w:rFonts w:ascii="Arial" w:hAnsi="Arial" w:cs="Arial"/>
        </w:rPr>
        <w:t>enrolle</w:t>
      </w:r>
      <w:r w:rsidR="00DB68E6">
        <w:rPr>
          <w:rFonts w:ascii="Arial" w:hAnsi="Arial" w:cs="Arial"/>
        </w:rPr>
        <w:t>d in classified graduate status courses</w:t>
      </w:r>
      <w:r w:rsidRPr="00CB6667">
        <w:rPr>
          <w:rFonts w:ascii="Arial" w:hAnsi="Arial" w:cs="Arial"/>
        </w:rPr>
        <w:t>.</w:t>
      </w:r>
    </w:p>
    <w:p w:rsidR="003275B9" w:rsidRDefault="003275B9" w:rsidP="003275B9">
      <w:pPr>
        <w:pStyle w:val="ListParagraph"/>
        <w:numPr>
          <w:ilvl w:val="0"/>
          <w:numId w:val="1"/>
        </w:numPr>
        <w:rPr>
          <w:rFonts w:ascii="Arial" w:hAnsi="Arial" w:cs="Arial"/>
        </w:rPr>
      </w:pPr>
      <w:r w:rsidRPr="00CB6667">
        <w:rPr>
          <w:rFonts w:ascii="Arial" w:hAnsi="Arial" w:cs="Arial"/>
        </w:rPr>
        <w:t xml:space="preserve">Students must be enrolled for </w:t>
      </w:r>
      <w:r w:rsidR="00C10EE3" w:rsidRPr="00CB6667">
        <w:rPr>
          <w:rFonts w:ascii="Arial" w:hAnsi="Arial" w:cs="Arial"/>
        </w:rPr>
        <w:t>nine</w:t>
      </w:r>
      <w:r w:rsidRPr="00CB6667">
        <w:rPr>
          <w:rFonts w:ascii="Arial" w:hAnsi="Arial" w:cs="Arial"/>
        </w:rPr>
        <w:t xml:space="preserve"> credit hours during each semester they are employed (</w:t>
      </w:r>
      <w:r w:rsidR="00C10EE3" w:rsidRPr="00CB6667">
        <w:rPr>
          <w:rFonts w:ascii="Arial" w:hAnsi="Arial" w:cs="Arial"/>
        </w:rPr>
        <w:t>three</w:t>
      </w:r>
      <w:r w:rsidRPr="00CB6667">
        <w:rPr>
          <w:rFonts w:ascii="Arial" w:hAnsi="Arial" w:cs="Arial"/>
        </w:rPr>
        <w:t xml:space="preserve"> credit hours during the summer</w:t>
      </w:r>
      <w:r w:rsidR="000C2C6F">
        <w:rPr>
          <w:rFonts w:ascii="Arial" w:hAnsi="Arial" w:cs="Arial"/>
        </w:rPr>
        <w:t xml:space="preserve"> for each summer session employed</w:t>
      </w:r>
      <w:r w:rsidR="00DB68E6">
        <w:rPr>
          <w:rFonts w:ascii="Arial" w:hAnsi="Arial" w:cs="Arial"/>
        </w:rPr>
        <w:t xml:space="preserve"> or </w:t>
      </w:r>
      <w:r w:rsidR="00C10EE3">
        <w:rPr>
          <w:rFonts w:ascii="Arial" w:hAnsi="Arial" w:cs="Arial"/>
        </w:rPr>
        <w:t>six</w:t>
      </w:r>
      <w:r w:rsidR="00DB68E6">
        <w:rPr>
          <w:rFonts w:ascii="Arial" w:hAnsi="Arial" w:cs="Arial"/>
        </w:rPr>
        <w:t xml:space="preserve"> total credit hours</w:t>
      </w:r>
      <w:r w:rsidRPr="00CB6667">
        <w:rPr>
          <w:rFonts w:ascii="Arial" w:hAnsi="Arial" w:cs="Arial"/>
        </w:rPr>
        <w:t>).</w:t>
      </w:r>
    </w:p>
    <w:p w:rsidR="006C39FB" w:rsidRPr="00CB6667" w:rsidRDefault="006C39FB" w:rsidP="003275B9">
      <w:pPr>
        <w:pStyle w:val="ListParagraph"/>
        <w:numPr>
          <w:ilvl w:val="0"/>
          <w:numId w:val="1"/>
        </w:numPr>
        <w:rPr>
          <w:rFonts w:ascii="Arial" w:hAnsi="Arial" w:cs="Arial"/>
        </w:rPr>
      </w:pPr>
      <w:r>
        <w:rPr>
          <w:rFonts w:ascii="Arial" w:hAnsi="Arial" w:cs="Arial"/>
        </w:rPr>
        <w:t>Students must reside in Lubbock, TX.</w:t>
      </w:r>
    </w:p>
    <w:p w:rsidR="00CE327F" w:rsidRDefault="00CE327F">
      <w:pPr>
        <w:rPr>
          <w:rFonts w:ascii="Arial" w:hAnsi="Arial" w:cs="Arial"/>
          <w:b/>
          <w:u w:val="single"/>
        </w:rPr>
      </w:pPr>
    </w:p>
    <w:p w:rsidR="003275B9" w:rsidRDefault="003275B9">
      <w:pPr>
        <w:rPr>
          <w:rFonts w:ascii="Arial" w:hAnsi="Arial" w:cs="Arial"/>
          <w:b/>
          <w:u w:val="single"/>
        </w:rPr>
      </w:pPr>
      <w:r w:rsidRPr="00CB6667">
        <w:rPr>
          <w:rFonts w:ascii="Arial" w:hAnsi="Arial" w:cs="Arial"/>
          <w:b/>
          <w:u w:val="single"/>
        </w:rPr>
        <w:t>Duration of Appointment</w:t>
      </w:r>
    </w:p>
    <w:p w:rsidR="006C39FB" w:rsidRPr="006C39FB" w:rsidRDefault="00C676AE">
      <w:pPr>
        <w:rPr>
          <w:rFonts w:ascii="Arial" w:hAnsi="Arial" w:cs="Arial"/>
        </w:rPr>
      </w:pPr>
      <w:r>
        <w:rPr>
          <w:rFonts w:ascii="Arial" w:hAnsi="Arial" w:cs="Arial"/>
        </w:rPr>
        <w:t>The duration of appointments is</w:t>
      </w:r>
      <w:r w:rsidR="006C39FB" w:rsidRPr="006C39FB">
        <w:rPr>
          <w:rFonts w:ascii="Arial" w:hAnsi="Arial" w:cs="Arial"/>
        </w:rPr>
        <w:t xml:space="preserve"> determined by the following guidelines:</w:t>
      </w:r>
    </w:p>
    <w:p w:rsidR="006C39FB" w:rsidRDefault="003275B9" w:rsidP="003275B9">
      <w:pPr>
        <w:pStyle w:val="ListParagraph"/>
        <w:numPr>
          <w:ilvl w:val="0"/>
          <w:numId w:val="1"/>
        </w:numPr>
        <w:rPr>
          <w:rFonts w:ascii="Arial" w:hAnsi="Arial" w:cs="Arial"/>
        </w:rPr>
      </w:pPr>
      <w:r w:rsidRPr="00CB6667">
        <w:rPr>
          <w:rFonts w:ascii="Arial" w:hAnsi="Arial" w:cs="Arial"/>
        </w:rPr>
        <w:t>Researc</w:t>
      </w:r>
      <w:r w:rsidR="00FC54F5" w:rsidRPr="00CB6667">
        <w:rPr>
          <w:rFonts w:ascii="Arial" w:hAnsi="Arial" w:cs="Arial"/>
        </w:rPr>
        <w:t>h Assistants are appointed from September 1 – May 31 each year</w:t>
      </w:r>
      <w:r w:rsidRPr="00CB6667">
        <w:rPr>
          <w:rFonts w:ascii="Arial" w:hAnsi="Arial" w:cs="Arial"/>
        </w:rPr>
        <w:t xml:space="preserve">.  </w:t>
      </w:r>
    </w:p>
    <w:p w:rsidR="000C7A66" w:rsidRDefault="003275B9" w:rsidP="003275B9">
      <w:pPr>
        <w:pStyle w:val="ListParagraph"/>
        <w:numPr>
          <w:ilvl w:val="0"/>
          <w:numId w:val="1"/>
        </w:numPr>
        <w:rPr>
          <w:rFonts w:ascii="Arial" w:hAnsi="Arial" w:cs="Arial"/>
        </w:rPr>
      </w:pPr>
      <w:r w:rsidRPr="00CB6667">
        <w:rPr>
          <w:rFonts w:ascii="Arial" w:hAnsi="Arial" w:cs="Arial"/>
        </w:rPr>
        <w:t>Summer appointments are made as funding is available.</w:t>
      </w:r>
      <w:r w:rsidR="000C7A66">
        <w:rPr>
          <w:rFonts w:ascii="Arial" w:hAnsi="Arial" w:cs="Arial"/>
        </w:rPr>
        <w:t xml:space="preserve"> </w:t>
      </w:r>
    </w:p>
    <w:p w:rsidR="00D56F51" w:rsidRPr="00CB6667" w:rsidRDefault="00D56F51" w:rsidP="00D56F51">
      <w:pPr>
        <w:pStyle w:val="ListParagraph"/>
        <w:numPr>
          <w:ilvl w:val="0"/>
          <w:numId w:val="1"/>
        </w:numPr>
        <w:rPr>
          <w:rFonts w:ascii="Arial" w:hAnsi="Arial" w:cs="Arial"/>
        </w:rPr>
      </w:pPr>
      <w:r>
        <w:rPr>
          <w:rFonts w:ascii="Arial" w:hAnsi="Arial" w:cs="Arial"/>
        </w:rPr>
        <w:t xml:space="preserve">New Research Assistants will need to complete new hire paperwork and be processed through the system before they can begin employment. </w:t>
      </w:r>
    </w:p>
    <w:p w:rsidR="000C7A66" w:rsidRDefault="006C39FB" w:rsidP="000C7A66">
      <w:pPr>
        <w:pStyle w:val="ListParagraph"/>
        <w:numPr>
          <w:ilvl w:val="0"/>
          <w:numId w:val="1"/>
        </w:numPr>
        <w:rPr>
          <w:rFonts w:ascii="Arial" w:hAnsi="Arial" w:cs="Arial"/>
        </w:rPr>
      </w:pPr>
      <w:r>
        <w:rPr>
          <w:rFonts w:ascii="Arial" w:hAnsi="Arial" w:cs="Arial"/>
        </w:rPr>
        <w:t xml:space="preserve">A </w:t>
      </w:r>
      <w:r w:rsidR="003275B9" w:rsidRPr="00CB6667">
        <w:rPr>
          <w:rFonts w:ascii="Arial" w:hAnsi="Arial" w:cs="Arial"/>
        </w:rPr>
        <w:t>current assistantship appointment does not automatically entitle you to additional contract terms.</w:t>
      </w:r>
      <w:r w:rsidR="000C7A66">
        <w:rPr>
          <w:rFonts w:ascii="Arial" w:hAnsi="Arial" w:cs="Arial"/>
        </w:rPr>
        <w:t xml:space="preserve"> </w:t>
      </w:r>
    </w:p>
    <w:p w:rsidR="003275B9" w:rsidRPr="000C7A66" w:rsidRDefault="000C7A66" w:rsidP="000C7A66">
      <w:pPr>
        <w:pStyle w:val="ListParagraph"/>
        <w:numPr>
          <w:ilvl w:val="0"/>
          <w:numId w:val="1"/>
        </w:numPr>
        <w:rPr>
          <w:rFonts w:ascii="Arial" w:hAnsi="Arial" w:cs="Arial"/>
        </w:rPr>
      </w:pPr>
      <w:r>
        <w:rPr>
          <w:rFonts w:ascii="Arial" w:hAnsi="Arial" w:cs="Arial"/>
        </w:rPr>
        <w:t>Research Assistantships may be renewed up to a total of four years as long as funding is available and the student remains eligible for employment.</w:t>
      </w:r>
    </w:p>
    <w:p w:rsidR="003275B9" w:rsidRDefault="006C39FB" w:rsidP="003275B9">
      <w:pPr>
        <w:pStyle w:val="ListParagraph"/>
        <w:numPr>
          <w:ilvl w:val="0"/>
          <w:numId w:val="1"/>
        </w:numPr>
        <w:rPr>
          <w:rFonts w:ascii="Arial" w:hAnsi="Arial" w:cs="Arial"/>
        </w:rPr>
      </w:pPr>
      <w:r>
        <w:rPr>
          <w:rFonts w:ascii="Arial" w:hAnsi="Arial" w:cs="Arial"/>
        </w:rPr>
        <w:t>A</w:t>
      </w:r>
      <w:r w:rsidR="003275B9" w:rsidRPr="00CB6667">
        <w:rPr>
          <w:rFonts w:ascii="Arial" w:hAnsi="Arial" w:cs="Arial"/>
        </w:rPr>
        <w:t>ppointment</w:t>
      </w:r>
      <w:r w:rsidR="0031071A">
        <w:rPr>
          <w:rFonts w:ascii="Arial" w:hAnsi="Arial" w:cs="Arial"/>
        </w:rPr>
        <w:t>s</w:t>
      </w:r>
      <w:r w:rsidR="003275B9" w:rsidRPr="00CB6667">
        <w:rPr>
          <w:rFonts w:ascii="Arial" w:hAnsi="Arial" w:cs="Arial"/>
        </w:rPr>
        <w:t xml:space="preserve"> supported by a grant</w:t>
      </w:r>
      <w:r w:rsidR="0031071A">
        <w:rPr>
          <w:rFonts w:ascii="Arial" w:hAnsi="Arial" w:cs="Arial"/>
        </w:rPr>
        <w:t xml:space="preserve"> </w:t>
      </w:r>
      <w:r w:rsidR="003275B9" w:rsidRPr="00CB6667">
        <w:rPr>
          <w:rFonts w:ascii="Arial" w:hAnsi="Arial" w:cs="Arial"/>
        </w:rPr>
        <w:t>can remain only as long as the grant has sufficient funding available.</w:t>
      </w:r>
    </w:p>
    <w:p w:rsidR="00690B4E" w:rsidRDefault="00690B4E" w:rsidP="003275B9">
      <w:pPr>
        <w:rPr>
          <w:rFonts w:ascii="Arial" w:hAnsi="Arial" w:cs="Arial"/>
          <w:b/>
          <w:u w:val="single"/>
        </w:rPr>
      </w:pPr>
    </w:p>
    <w:p w:rsidR="00CE327F" w:rsidRDefault="00DB68E6" w:rsidP="003275B9">
      <w:pPr>
        <w:rPr>
          <w:rFonts w:ascii="Arial" w:hAnsi="Arial" w:cs="Arial"/>
          <w:b/>
          <w:u w:val="single"/>
        </w:rPr>
      </w:pPr>
      <w:r>
        <w:rPr>
          <w:rFonts w:ascii="Arial" w:hAnsi="Arial" w:cs="Arial"/>
          <w:b/>
          <w:u w:val="single"/>
        </w:rPr>
        <w:t>Schedule</w:t>
      </w:r>
    </w:p>
    <w:p w:rsidR="000939A0" w:rsidRPr="00DB68E6" w:rsidRDefault="00DB68E6" w:rsidP="00460EF4">
      <w:pPr>
        <w:rPr>
          <w:rFonts w:ascii="Arial" w:hAnsi="Arial" w:cs="Arial"/>
        </w:rPr>
      </w:pPr>
      <w:r>
        <w:rPr>
          <w:rFonts w:ascii="Arial" w:hAnsi="Arial" w:cs="Arial"/>
        </w:rPr>
        <w:t xml:space="preserve">In general, you are expected to follow the university calendar.  This means you receive university holidays off (e.g., Thanksgiving, Labor Day) and are expected to continue your RA duties even when </w:t>
      </w:r>
      <w:r>
        <w:rPr>
          <w:rFonts w:ascii="Arial" w:hAnsi="Arial" w:cs="Arial"/>
        </w:rPr>
        <w:lastRenderedPageBreak/>
        <w:t>classes are not in session.</w:t>
      </w:r>
      <w:r w:rsidRPr="00DB68E6">
        <w:rPr>
          <w:rFonts w:ascii="Times New Roman" w:eastAsia="Calibri" w:hAnsi="Times New Roman" w:cs="Times New Roman"/>
          <w:color w:val="000000" w:themeColor="text1"/>
          <w:kern w:val="24"/>
          <w:sz w:val="28"/>
          <w:szCs w:val="28"/>
        </w:rPr>
        <w:t xml:space="preserve"> </w:t>
      </w:r>
      <w:r w:rsidR="005074E0" w:rsidRPr="00DB68E6">
        <w:rPr>
          <w:rFonts w:ascii="Arial" w:hAnsi="Arial" w:cs="Arial"/>
        </w:rPr>
        <w:t xml:space="preserve">During </w:t>
      </w:r>
      <w:r>
        <w:rPr>
          <w:rFonts w:ascii="Arial" w:hAnsi="Arial" w:cs="Arial"/>
        </w:rPr>
        <w:t xml:space="preserve">times when </w:t>
      </w:r>
      <w:r w:rsidR="005074E0" w:rsidRPr="00DB68E6">
        <w:rPr>
          <w:rFonts w:ascii="Arial" w:hAnsi="Arial" w:cs="Arial"/>
        </w:rPr>
        <w:t>faculty member(s) with whom you a</w:t>
      </w:r>
      <w:r w:rsidR="0031071A">
        <w:rPr>
          <w:rFonts w:ascii="Arial" w:hAnsi="Arial" w:cs="Arial"/>
        </w:rPr>
        <w:t xml:space="preserve">re working </w:t>
      </w:r>
      <w:r>
        <w:rPr>
          <w:rFonts w:ascii="Arial" w:hAnsi="Arial" w:cs="Arial"/>
        </w:rPr>
        <w:t xml:space="preserve">are not going to </w:t>
      </w:r>
      <w:r w:rsidR="005074E0" w:rsidRPr="00DB68E6">
        <w:rPr>
          <w:rFonts w:ascii="Arial" w:hAnsi="Arial" w:cs="Arial"/>
        </w:rPr>
        <w:t>be here, consider these steps when requesting your required time:</w:t>
      </w:r>
    </w:p>
    <w:p w:rsidR="000939A0" w:rsidRPr="00DB68E6" w:rsidRDefault="005074E0" w:rsidP="00C676AE">
      <w:pPr>
        <w:numPr>
          <w:ilvl w:val="0"/>
          <w:numId w:val="15"/>
        </w:numPr>
        <w:rPr>
          <w:rFonts w:ascii="Arial" w:hAnsi="Arial" w:cs="Arial"/>
        </w:rPr>
      </w:pPr>
      <w:r w:rsidRPr="00DB68E6">
        <w:rPr>
          <w:rFonts w:ascii="Arial" w:hAnsi="Arial" w:cs="Arial"/>
        </w:rPr>
        <w:t>Ask for advance work assignments</w:t>
      </w:r>
    </w:p>
    <w:p w:rsidR="000939A0" w:rsidRPr="00DB68E6" w:rsidRDefault="005074E0" w:rsidP="00C676AE">
      <w:pPr>
        <w:numPr>
          <w:ilvl w:val="0"/>
          <w:numId w:val="15"/>
        </w:numPr>
        <w:rPr>
          <w:rFonts w:ascii="Arial" w:hAnsi="Arial" w:cs="Arial"/>
        </w:rPr>
      </w:pPr>
      <w:r w:rsidRPr="00DB68E6">
        <w:rPr>
          <w:rFonts w:ascii="Arial" w:hAnsi="Arial" w:cs="Arial"/>
        </w:rPr>
        <w:t>If you can, work for more than one faculty member for additional work</w:t>
      </w:r>
    </w:p>
    <w:p w:rsidR="000939A0" w:rsidRPr="00DB68E6" w:rsidRDefault="005074E0" w:rsidP="00C676AE">
      <w:pPr>
        <w:numPr>
          <w:ilvl w:val="0"/>
          <w:numId w:val="15"/>
        </w:numPr>
        <w:rPr>
          <w:rFonts w:ascii="Arial" w:hAnsi="Arial" w:cs="Arial"/>
        </w:rPr>
      </w:pPr>
      <w:r w:rsidRPr="00DB68E6">
        <w:rPr>
          <w:rFonts w:ascii="Arial" w:hAnsi="Arial" w:cs="Arial"/>
        </w:rPr>
        <w:t xml:space="preserve">Check with the </w:t>
      </w:r>
      <w:r w:rsidR="00DB68E6">
        <w:rPr>
          <w:rFonts w:ascii="Arial" w:hAnsi="Arial" w:cs="Arial"/>
        </w:rPr>
        <w:t xml:space="preserve">Graduate Office </w:t>
      </w:r>
      <w:r w:rsidRPr="00DB68E6">
        <w:rPr>
          <w:rFonts w:ascii="Arial" w:hAnsi="Arial" w:cs="Arial"/>
        </w:rPr>
        <w:t>for assignments</w:t>
      </w:r>
    </w:p>
    <w:p w:rsidR="000939A0" w:rsidRDefault="005074E0" w:rsidP="00DB68E6">
      <w:pPr>
        <w:rPr>
          <w:rFonts w:ascii="Arial" w:hAnsi="Arial" w:cs="Arial"/>
        </w:rPr>
      </w:pPr>
      <w:r w:rsidRPr="00DB68E6">
        <w:rPr>
          <w:rFonts w:ascii="Arial" w:hAnsi="Arial" w:cs="Arial"/>
        </w:rPr>
        <w:t>I</w:t>
      </w:r>
      <w:r w:rsidR="0031071A">
        <w:rPr>
          <w:rFonts w:ascii="Arial" w:hAnsi="Arial" w:cs="Arial"/>
        </w:rPr>
        <w:t xml:space="preserve">f you are absent due to a medical reason, </w:t>
      </w:r>
      <w:r w:rsidR="00DB68E6">
        <w:rPr>
          <w:rFonts w:ascii="Arial" w:hAnsi="Arial" w:cs="Arial"/>
        </w:rPr>
        <w:t xml:space="preserve">you </w:t>
      </w:r>
      <w:r w:rsidRPr="00DB68E6">
        <w:rPr>
          <w:rFonts w:ascii="Arial" w:hAnsi="Arial" w:cs="Arial"/>
        </w:rPr>
        <w:t xml:space="preserve">should contact your immediate </w:t>
      </w:r>
      <w:r w:rsidR="00C10EE3" w:rsidRPr="00DB68E6">
        <w:rPr>
          <w:rFonts w:ascii="Arial" w:hAnsi="Arial" w:cs="Arial"/>
        </w:rPr>
        <w:t>supervisor</w:t>
      </w:r>
      <w:r w:rsidRPr="00DB68E6">
        <w:rPr>
          <w:rFonts w:ascii="Arial" w:hAnsi="Arial" w:cs="Arial"/>
        </w:rPr>
        <w:t xml:space="preserve"> or </w:t>
      </w:r>
      <w:r w:rsidR="00DB68E6">
        <w:rPr>
          <w:rFonts w:ascii="Arial" w:hAnsi="Arial" w:cs="Arial"/>
        </w:rPr>
        <w:t xml:space="preserve">Pam Smith </w:t>
      </w:r>
      <w:r w:rsidRPr="00DB68E6">
        <w:rPr>
          <w:rFonts w:ascii="Arial" w:hAnsi="Arial" w:cs="Arial"/>
        </w:rPr>
        <w:t xml:space="preserve">at the earliest practical time.  If you are out due to illness for more than 3 days you should provide a doctor’s statement releasing you back to work.  During any extended </w:t>
      </w:r>
      <w:r w:rsidR="00C10EE3" w:rsidRPr="00DB68E6">
        <w:rPr>
          <w:rFonts w:ascii="Arial" w:hAnsi="Arial" w:cs="Arial"/>
        </w:rPr>
        <w:t>absence,</w:t>
      </w:r>
      <w:r w:rsidRPr="00DB68E6">
        <w:rPr>
          <w:rFonts w:ascii="Arial" w:hAnsi="Arial" w:cs="Arial"/>
        </w:rPr>
        <w:t xml:space="preserve"> you will be placed on a Leave of Absence</w:t>
      </w:r>
      <w:r w:rsidR="00DB68E6">
        <w:rPr>
          <w:rFonts w:ascii="Arial" w:hAnsi="Arial" w:cs="Arial"/>
        </w:rPr>
        <w:t xml:space="preserve"> and cease to receive funding</w:t>
      </w:r>
      <w:r w:rsidRPr="00DB68E6">
        <w:rPr>
          <w:rFonts w:ascii="Arial" w:hAnsi="Arial" w:cs="Arial"/>
        </w:rPr>
        <w:t xml:space="preserve">. </w:t>
      </w:r>
    </w:p>
    <w:p w:rsidR="00DB68E6" w:rsidRDefault="00DB68E6" w:rsidP="003275B9">
      <w:pPr>
        <w:rPr>
          <w:rFonts w:ascii="Arial" w:hAnsi="Arial" w:cs="Arial"/>
        </w:rPr>
      </w:pPr>
      <w:r w:rsidRPr="00DB68E6">
        <w:rPr>
          <w:rFonts w:ascii="Arial" w:hAnsi="Arial" w:cs="Arial"/>
        </w:rPr>
        <w:t>If it is discovered that that you have taken an extended amount of time o</w:t>
      </w:r>
      <w:r>
        <w:rPr>
          <w:rFonts w:ascii="Arial" w:hAnsi="Arial" w:cs="Arial"/>
        </w:rPr>
        <w:t xml:space="preserve">ff without prior coordination, </w:t>
      </w:r>
      <w:r w:rsidRPr="00DB68E6">
        <w:rPr>
          <w:rFonts w:ascii="Arial" w:hAnsi="Arial" w:cs="Arial"/>
        </w:rPr>
        <w:t xml:space="preserve">you risk termination from your assigned position. </w:t>
      </w:r>
    </w:p>
    <w:p w:rsidR="00690B4E" w:rsidRDefault="00690B4E" w:rsidP="003275B9">
      <w:pPr>
        <w:rPr>
          <w:rFonts w:ascii="Arial" w:hAnsi="Arial" w:cs="Arial"/>
          <w:b/>
          <w:u w:val="single"/>
        </w:rPr>
      </w:pPr>
    </w:p>
    <w:p w:rsidR="00DB68E6" w:rsidRPr="00690B4E" w:rsidRDefault="00690B4E" w:rsidP="003275B9">
      <w:pPr>
        <w:rPr>
          <w:rFonts w:ascii="Arial" w:hAnsi="Arial" w:cs="Arial"/>
          <w:b/>
          <w:u w:val="single"/>
        </w:rPr>
      </w:pPr>
      <w:r w:rsidRPr="00690B4E">
        <w:rPr>
          <w:rFonts w:ascii="Arial" w:hAnsi="Arial" w:cs="Arial"/>
          <w:b/>
          <w:u w:val="single"/>
        </w:rPr>
        <w:t>Research</w:t>
      </w:r>
      <w:r>
        <w:rPr>
          <w:rFonts w:ascii="Arial" w:hAnsi="Arial" w:cs="Arial"/>
          <w:b/>
          <w:u w:val="single"/>
        </w:rPr>
        <w:t xml:space="preserve"> Expectations</w:t>
      </w:r>
    </w:p>
    <w:p w:rsidR="00690B4E" w:rsidRDefault="00690B4E" w:rsidP="00690B4E">
      <w:pPr>
        <w:autoSpaceDE w:val="0"/>
        <w:autoSpaceDN w:val="0"/>
        <w:adjustRightInd w:val="0"/>
        <w:spacing w:after="0" w:line="240" w:lineRule="auto"/>
        <w:rPr>
          <w:rFonts w:ascii="TimesNewRomanPSMT" w:hAnsi="TimesNewRomanPSMT" w:cs="TimesNewRomanPSMT"/>
        </w:rPr>
      </w:pPr>
      <w:r>
        <w:rPr>
          <w:rFonts w:ascii="Arial" w:hAnsi="Arial" w:cs="Arial"/>
        </w:rPr>
        <w:t xml:space="preserve">At least 50% of an RA’s assignment should be focused on research or research-related work.  OP 70.27 </w:t>
      </w:r>
      <w:r w:rsidRPr="00690B4E">
        <w:rPr>
          <w:rFonts w:ascii="Arial" w:hAnsi="Arial" w:cs="Arial"/>
          <w:i/>
        </w:rPr>
        <w:t>Employment of Student Employees</w:t>
      </w:r>
      <w:r>
        <w:rPr>
          <w:rFonts w:ascii="Arial" w:hAnsi="Arial" w:cs="Arial"/>
        </w:rPr>
        <w:t xml:space="preserve"> states research assistants are </w:t>
      </w:r>
      <w:r>
        <w:rPr>
          <w:rFonts w:ascii="TimesNewRomanPSMT" w:hAnsi="TimesNewRomanPSMT" w:cs="TimesNewRomanPSMT"/>
        </w:rPr>
        <w:t>“</w:t>
      </w:r>
      <w:r>
        <w:rPr>
          <w:rFonts w:ascii="TimesNewRomanPSMT" w:hAnsi="TimesNewRomanPSMT" w:cs="TimesNewRomanPSMT"/>
        </w:rPr>
        <w:t>to assist the department’s research efforts in support of the university’s research mission</w:t>
      </w:r>
      <w:r>
        <w:rPr>
          <w:rFonts w:ascii="TimesNewRomanPSMT" w:hAnsi="TimesNewRomanPSMT" w:cs="TimesNewRomanPSMT"/>
        </w:rPr>
        <w:t>” (OP 70.27, p. 1)</w:t>
      </w:r>
      <w:r>
        <w:rPr>
          <w:rFonts w:ascii="TimesNewRomanPSMT" w:hAnsi="TimesNewRomanPSMT" w:cs="TimesNewRomanPSMT"/>
        </w:rPr>
        <w:t>.</w:t>
      </w:r>
      <w:r>
        <w:rPr>
          <w:rFonts w:ascii="TimesNewRomanPSMT" w:hAnsi="TimesNewRomanPSMT" w:cs="TimesNewRomanPSMT"/>
        </w:rPr>
        <w:t xml:space="preserve">  If you have questions about whether the work you are asked to engage in is in accordance with this OP, please contact the College of Education Graduate Office.  RA’s who are being asked to teach classes or engage in primarily clerical work will be reassigned.</w:t>
      </w:r>
    </w:p>
    <w:p w:rsidR="00690B4E" w:rsidRDefault="00690B4E" w:rsidP="003275B9">
      <w:pPr>
        <w:rPr>
          <w:rFonts w:ascii="Arial" w:hAnsi="Arial" w:cs="Arial"/>
          <w:b/>
          <w:u w:val="single"/>
        </w:rPr>
      </w:pPr>
    </w:p>
    <w:p w:rsidR="00DB68E6" w:rsidRDefault="00DB68E6" w:rsidP="003275B9">
      <w:pPr>
        <w:rPr>
          <w:rFonts w:ascii="Arial" w:hAnsi="Arial" w:cs="Arial"/>
          <w:b/>
          <w:u w:val="single"/>
        </w:rPr>
      </w:pPr>
      <w:r>
        <w:rPr>
          <w:rFonts w:ascii="Arial" w:hAnsi="Arial" w:cs="Arial"/>
          <w:b/>
          <w:u w:val="single"/>
        </w:rPr>
        <w:t>Appointments</w:t>
      </w:r>
    </w:p>
    <w:p w:rsidR="00DB68E6" w:rsidRDefault="00DB68E6" w:rsidP="003275B9">
      <w:pPr>
        <w:rPr>
          <w:rFonts w:ascii="Arial" w:hAnsi="Arial" w:cs="Arial"/>
        </w:rPr>
      </w:pPr>
      <w:r>
        <w:rPr>
          <w:rFonts w:ascii="Arial" w:hAnsi="Arial" w:cs="Arial"/>
        </w:rPr>
        <w:t>Appointments will be determined in coordination with program faculty.  The selection and placement of students will be primarily on a first come first served basis.  We will try to place students with their program/track area faculty as much as is possible, but</w:t>
      </w:r>
      <w:r w:rsidR="0031071A">
        <w:rPr>
          <w:rFonts w:ascii="Arial" w:hAnsi="Arial" w:cs="Arial"/>
        </w:rPr>
        <w:t xml:space="preserve"> this may not always be feasible</w:t>
      </w:r>
      <w:r>
        <w:rPr>
          <w:rFonts w:ascii="Arial" w:hAnsi="Arial" w:cs="Arial"/>
        </w:rPr>
        <w:t>. Please contact the Graduate Office to request a change in appointment.</w:t>
      </w:r>
    </w:p>
    <w:p w:rsidR="00156753" w:rsidRDefault="00156753" w:rsidP="003275B9">
      <w:pPr>
        <w:rPr>
          <w:rFonts w:ascii="Arial" w:hAnsi="Arial" w:cs="Arial"/>
          <w:b/>
          <w:u w:val="single"/>
        </w:rPr>
      </w:pPr>
    </w:p>
    <w:p w:rsidR="00DB68E6" w:rsidRPr="00DB68E6" w:rsidRDefault="00DB68E6" w:rsidP="003275B9">
      <w:pPr>
        <w:rPr>
          <w:rFonts w:ascii="Arial" w:hAnsi="Arial" w:cs="Arial"/>
          <w:b/>
          <w:u w:val="single"/>
        </w:rPr>
      </w:pPr>
      <w:r w:rsidRPr="00DB68E6">
        <w:rPr>
          <w:rFonts w:ascii="Arial" w:hAnsi="Arial" w:cs="Arial"/>
          <w:b/>
          <w:u w:val="single"/>
        </w:rPr>
        <w:t>Evaluation</w:t>
      </w:r>
    </w:p>
    <w:p w:rsidR="00DB68E6" w:rsidRPr="00690B4E" w:rsidRDefault="00DB68E6" w:rsidP="003275B9">
      <w:pPr>
        <w:rPr>
          <w:rFonts w:ascii="Arial" w:hAnsi="Arial" w:cs="Arial"/>
        </w:rPr>
      </w:pPr>
      <w:r>
        <w:rPr>
          <w:rFonts w:ascii="Arial" w:hAnsi="Arial" w:cs="Arial"/>
        </w:rPr>
        <w:t xml:space="preserve">Each term, </w:t>
      </w:r>
      <w:r w:rsidR="00C10EE3">
        <w:rPr>
          <w:rFonts w:ascii="Arial" w:hAnsi="Arial" w:cs="Arial"/>
        </w:rPr>
        <w:t>the faculty member you were assigned to work with will evaluate you</w:t>
      </w:r>
      <w:r>
        <w:rPr>
          <w:rFonts w:ascii="Arial" w:hAnsi="Arial" w:cs="Arial"/>
        </w:rPr>
        <w:t>.  These evaluations are confidential and the records are maintained in the Graduate Office. If you receive a poor evaluation, the Associate Dean for Graduate Education and Research will contact you and if warranted place you on a personal improvement plan or change your placement.  Depending on the severity of the situation, the Associate Dean may revoke your assistantship.</w:t>
      </w:r>
    </w:p>
    <w:p w:rsidR="00156753" w:rsidRDefault="00156753" w:rsidP="003275B9">
      <w:pPr>
        <w:rPr>
          <w:rFonts w:ascii="Arial" w:hAnsi="Arial" w:cs="Arial"/>
          <w:b/>
          <w:u w:val="single"/>
        </w:rPr>
      </w:pPr>
    </w:p>
    <w:p w:rsidR="00156753" w:rsidRDefault="00156753" w:rsidP="003275B9">
      <w:pPr>
        <w:rPr>
          <w:rFonts w:ascii="Arial" w:hAnsi="Arial" w:cs="Arial"/>
          <w:b/>
          <w:u w:val="single"/>
        </w:rPr>
      </w:pPr>
    </w:p>
    <w:p w:rsidR="003275B9" w:rsidRPr="00CB6667" w:rsidRDefault="003275B9" w:rsidP="003275B9">
      <w:pPr>
        <w:rPr>
          <w:rFonts w:ascii="Arial" w:hAnsi="Arial" w:cs="Arial"/>
          <w:b/>
          <w:u w:val="single"/>
        </w:rPr>
      </w:pPr>
      <w:bookmarkStart w:id="0" w:name="_GoBack"/>
      <w:bookmarkEnd w:id="0"/>
      <w:r w:rsidRPr="00CB6667">
        <w:rPr>
          <w:rFonts w:ascii="Arial" w:hAnsi="Arial" w:cs="Arial"/>
          <w:b/>
          <w:u w:val="single"/>
        </w:rPr>
        <w:lastRenderedPageBreak/>
        <w:t>Workload</w:t>
      </w:r>
    </w:p>
    <w:p w:rsidR="003275B9" w:rsidRPr="00DB68E6" w:rsidRDefault="003275B9" w:rsidP="00DB68E6">
      <w:pPr>
        <w:rPr>
          <w:rFonts w:ascii="Arial" w:hAnsi="Arial" w:cs="Arial"/>
        </w:rPr>
      </w:pPr>
      <w:r w:rsidRPr="00DB68E6">
        <w:rPr>
          <w:rFonts w:ascii="Arial" w:hAnsi="Arial" w:cs="Arial"/>
        </w:rPr>
        <w:t>Assistantships can be granted for 10 hours per week or 20 hours per week.  Students with appointments of 10 hours per week may hold a concurrent position elsewhere on campus as a research assistant or student worker as long as the total hours do not exceed 20 hours per week at any time during the assistantship period.</w:t>
      </w:r>
    </w:p>
    <w:p w:rsidR="00E71654" w:rsidRDefault="00E71654" w:rsidP="003275B9">
      <w:pPr>
        <w:rPr>
          <w:rFonts w:ascii="Arial" w:hAnsi="Arial" w:cs="Arial"/>
          <w:b/>
          <w:u w:val="single"/>
        </w:rPr>
      </w:pPr>
    </w:p>
    <w:p w:rsidR="003275B9" w:rsidRPr="00CB6667" w:rsidRDefault="003275B9" w:rsidP="003275B9">
      <w:pPr>
        <w:rPr>
          <w:rFonts w:ascii="Arial" w:hAnsi="Arial" w:cs="Arial"/>
          <w:b/>
          <w:u w:val="single"/>
        </w:rPr>
      </w:pPr>
      <w:r w:rsidRPr="00CB6667">
        <w:rPr>
          <w:rFonts w:ascii="Arial" w:hAnsi="Arial" w:cs="Arial"/>
          <w:b/>
          <w:u w:val="single"/>
        </w:rPr>
        <w:t>Tuition Waivers</w:t>
      </w:r>
    </w:p>
    <w:p w:rsidR="003275B9" w:rsidRPr="00DB68E6" w:rsidRDefault="003275B9" w:rsidP="00DB68E6">
      <w:pPr>
        <w:rPr>
          <w:rFonts w:ascii="Arial" w:hAnsi="Arial" w:cs="Arial"/>
        </w:rPr>
      </w:pPr>
      <w:r w:rsidRPr="00DB68E6">
        <w:rPr>
          <w:rFonts w:ascii="Arial" w:hAnsi="Arial" w:cs="Arial"/>
        </w:rPr>
        <w:t>As a research assistant, you are entitled to a waiver of certain tuition and non-mandatory fees.  You are responsible for taking care of fee deadlines until the waivers are posted to your account.</w:t>
      </w:r>
    </w:p>
    <w:p w:rsidR="002B43DA" w:rsidRPr="00CB6667" w:rsidRDefault="002B43DA" w:rsidP="003275B9">
      <w:pPr>
        <w:pStyle w:val="ListParagraph"/>
        <w:numPr>
          <w:ilvl w:val="0"/>
          <w:numId w:val="2"/>
        </w:numPr>
        <w:rPr>
          <w:rFonts w:ascii="Arial" w:hAnsi="Arial" w:cs="Arial"/>
        </w:rPr>
      </w:pPr>
      <w:r>
        <w:rPr>
          <w:rFonts w:ascii="Arial" w:hAnsi="Arial" w:cs="Arial"/>
        </w:rPr>
        <w:t>Employment as a Research Assistant must be effective by the 20</w:t>
      </w:r>
      <w:r w:rsidRPr="002B43DA">
        <w:rPr>
          <w:rFonts w:ascii="Arial" w:hAnsi="Arial" w:cs="Arial"/>
          <w:vertAlign w:val="superscript"/>
        </w:rPr>
        <w:t>th</w:t>
      </w:r>
      <w:r>
        <w:rPr>
          <w:rFonts w:ascii="Arial" w:hAnsi="Arial" w:cs="Arial"/>
        </w:rPr>
        <w:t xml:space="preserve"> class day to be eligible for tuition and fee waivers.  If employment occurs after the 20</w:t>
      </w:r>
      <w:r w:rsidRPr="002B43DA">
        <w:rPr>
          <w:rFonts w:ascii="Arial" w:hAnsi="Arial" w:cs="Arial"/>
          <w:vertAlign w:val="superscript"/>
        </w:rPr>
        <w:t>th</w:t>
      </w:r>
      <w:r>
        <w:rPr>
          <w:rFonts w:ascii="Arial" w:hAnsi="Arial" w:cs="Arial"/>
        </w:rPr>
        <w:t xml:space="preserve"> class </w:t>
      </w:r>
      <w:r w:rsidR="00C10EE3">
        <w:rPr>
          <w:rFonts w:ascii="Arial" w:hAnsi="Arial" w:cs="Arial"/>
        </w:rPr>
        <w:t>day,</w:t>
      </w:r>
      <w:r>
        <w:rPr>
          <w:rFonts w:ascii="Arial" w:hAnsi="Arial" w:cs="Arial"/>
        </w:rPr>
        <w:t xml:space="preserve"> the student is responsible for tuition and fees for that semester.</w:t>
      </w:r>
    </w:p>
    <w:p w:rsidR="003275B9" w:rsidRPr="00CB6667" w:rsidRDefault="003275B9" w:rsidP="003275B9">
      <w:pPr>
        <w:pStyle w:val="ListParagraph"/>
        <w:numPr>
          <w:ilvl w:val="0"/>
          <w:numId w:val="2"/>
        </w:numPr>
        <w:rPr>
          <w:rFonts w:ascii="Arial" w:hAnsi="Arial" w:cs="Arial"/>
        </w:rPr>
      </w:pPr>
      <w:r w:rsidRPr="00CB6667">
        <w:rPr>
          <w:rFonts w:ascii="Arial" w:hAnsi="Arial" w:cs="Arial"/>
        </w:rPr>
        <w:t>You will forfeit your tuition/fee waiver</w:t>
      </w:r>
      <w:r w:rsidR="002B43DA">
        <w:rPr>
          <w:rFonts w:ascii="Arial" w:hAnsi="Arial" w:cs="Arial"/>
        </w:rPr>
        <w:t>s</w:t>
      </w:r>
      <w:r w:rsidRPr="00CB6667">
        <w:rPr>
          <w:rFonts w:ascii="Arial" w:hAnsi="Arial" w:cs="Arial"/>
        </w:rPr>
        <w:t xml:space="preserve"> and become liable for the full amount due if you withdraw from your classes after the first two weeks of the term.</w:t>
      </w:r>
    </w:p>
    <w:p w:rsidR="00AA4C8B" w:rsidRDefault="00AA4C8B">
      <w:pPr>
        <w:rPr>
          <w:rFonts w:ascii="Arial" w:hAnsi="Arial" w:cs="Arial"/>
          <w:b/>
          <w:u w:val="single"/>
        </w:rPr>
      </w:pPr>
    </w:p>
    <w:p w:rsidR="003275B9" w:rsidRPr="00CB6667" w:rsidRDefault="003275B9">
      <w:pPr>
        <w:rPr>
          <w:rFonts w:ascii="Arial" w:hAnsi="Arial" w:cs="Arial"/>
        </w:rPr>
      </w:pPr>
      <w:r w:rsidRPr="00CB6667">
        <w:rPr>
          <w:rFonts w:ascii="Arial" w:hAnsi="Arial" w:cs="Arial"/>
          <w:b/>
          <w:u w:val="single"/>
        </w:rPr>
        <w:t>Assistantship Contract</w:t>
      </w:r>
    </w:p>
    <w:p w:rsidR="00C676AE" w:rsidRPr="00C676AE" w:rsidRDefault="00C676AE" w:rsidP="00C676AE">
      <w:pPr>
        <w:rPr>
          <w:rFonts w:ascii="Arial" w:hAnsi="Arial" w:cs="Arial"/>
        </w:rPr>
      </w:pPr>
      <w:r>
        <w:rPr>
          <w:rFonts w:ascii="Arial" w:hAnsi="Arial" w:cs="Arial"/>
        </w:rPr>
        <w:t>The following are conditions of your contract as a Research Assistant:</w:t>
      </w:r>
    </w:p>
    <w:p w:rsidR="003275B9" w:rsidRPr="00CB6667" w:rsidRDefault="003275B9" w:rsidP="003275B9">
      <w:pPr>
        <w:pStyle w:val="ListParagraph"/>
        <w:numPr>
          <w:ilvl w:val="0"/>
          <w:numId w:val="3"/>
        </w:numPr>
        <w:rPr>
          <w:rFonts w:ascii="Arial" w:hAnsi="Arial" w:cs="Arial"/>
        </w:rPr>
      </w:pPr>
      <w:r w:rsidRPr="00CB6667">
        <w:rPr>
          <w:rFonts w:ascii="Arial" w:hAnsi="Arial" w:cs="Arial"/>
        </w:rPr>
        <w:t xml:space="preserve">By accepting the </w:t>
      </w:r>
      <w:r w:rsidR="00C10EE3" w:rsidRPr="00CB6667">
        <w:rPr>
          <w:rFonts w:ascii="Arial" w:hAnsi="Arial" w:cs="Arial"/>
        </w:rPr>
        <w:t>assistantship,</w:t>
      </w:r>
      <w:r w:rsidRPr="00CB6667">
        <w:rPr>
          <w:rFonts w:ascii="Arial" w:hAnsi="Arial" w:cs="Arial"/>
        </w:rPr>
        <w:t xml:space="preserve"> you enter into an agreement you are obliged to honor. If it becomes necessary for you to leave this position during the course of the year please give the College at least two weeks advance notice. Please be aware that you will forfeit your tuition and fees waiver and be liable for the full payment of tuition and fees.  </w:t>
      </w:r>
    </w:p>
    <w:p w:rsidR="003275B9" w:rsidRPr="00CB6667" w:rsidRDefault="003275B9" w:rsidP="003275B9">
      <w:pPr>
        <w:pStyle w:val="ListParagraph"/>
        <w:numPr>
          <w:ilvl w:val="0"/>
          <w:numId w:val="3"/>
        </w:numPr>
        <w:rPr>
          <w:rFonts w:ascii="Arial" w:hAnsi="Arial" w:cs="Arial"/>
        </w:rPr>
      </w:pPr>
      <w:r w:rsidRPr="00CB6667">
        <w:rPr>
          <w:rFonts w:ascii="Arial" w:hAnsi="Arial" w:cs="Arial"/>
        </w:rPr>
        <w:t>You will be expected to operate within the University guidelines and follow University policy and practice at all times.</w:t>
      </w:r>
    </w:p>
    <w:p w:rsidR="003275B9" w:rsidRDefault="003275B9" w:rsidP="003275B9">
      <w:pPr>
        <w:pStyle w:val="ListParagraph"/>
        <w:numPr>
          <w:ilvl w:val="0"/>
          <w:numId w:val="3"/>
        </w:numPr>
        <w:rPr>
          <w:rFonts w:ascii="Arial" w:hAnsi="Arial" w:cs="Arial"/>
        </w:rPr>
      </w:pPr>
      <w:r w:rsidRPr="00CB6667">
        <w:rPr>
          <w:rFonts w:ascii="Arial" w:hAnsi="Arial" w:cs="Arial"/>
        </w:rPr>
        <w:t>Assisting with research requires you to comply with all legal and ethical policies including those governing the use and care of animals, biosafety, and human subjects.</w:t>
      </w:r>
    </w:p>
    <w:p w:rsidR="000F7873" w:rsidRPr="000F7873" w:rsidRDefault="000F7873" w:rsidP="000F7873">
      <w:pPr>
        <w:pStyle w:val="ListParagraph"/>
        <w:numPr>
          <w:ilvl w:val="0"/>
          <w:numId w:val="3"/>
        </w:numPr>
        <w:rPr>
          <w:rFonts w:ascii="Arial" w:hAnsi="Arial" w:cs="Arial"/>
        </w:rPr>
      </w:pPr>
      <w:r w:rsidRPr="000F7873">
        <w:rPr>
          <w:rFonts w:ascii="Arial" w:hAnsi="Arial" w:cs="Arial"/>
        </w:rPr>
        <w:t xml:space="preserve">Research Assistants are expected to work 10 hours or 20 hours per week according to their </w:t>
      </w:r>
      <w:r>
        <w:rPr>
          <w:rFonts w:ascii="Arial" w:hAnsi="Arial" w:cs="Arial"/>
        </w:rPr>
        <w:t xml:space="preserve">employment </w:t>
      </w:r>
      <w:r w:rsidRPr="000F7873">
        <w:rPr>
          <w:rFonts w:ascii="Arial" w:hAnsi="Arial" w:cs="Arial"/>
        </w:rPr>
        <w:t xml:space="preserve">contract. </w:t>
      </w:r>
      <w:r>
        <w:rPr>
          <w:rFonts w:ascii="Arial" w:hAnsi="Arial" w:cs="Arial"/>
        </w:rPr>
        <w:t xml:space="preserve">Work is to be conducted during regular business hours of Monday – Friday, 8:00 am. – 5:00 p.m. </w:t>
      </w:r>
      <w:r w:rsidRPr="000F7873">
        <w:rPr>
          <w:rFonts w:ascii="Arial" w:hAnsi="Arial" w:cs="Arial"/>
        </w:rPr>
        <w:t xml:space="preserve">Failure to comply with work expectations could result in </w:t>
      </w:r>
      <w:r>
        <w:rPr>
          <w:rFonts w:ascii="Arial" w:hAnsi="Arial" w:cs="Arial"/>
        </w:rPr>
        <w:t xml:space="preserve">verbal </w:t>
      </w:r>
      <w:r w:rsidRPr="000F7873">
        <w:rPr>
          <w:rFonts w:ascii="Arial" w:hAnsi="Arial" w:cs="Arial"/>
        </w:rPr>
        <w:t>counseling</w:t>
      </w:r>
      <w:r w:rsidR="008D1433">
        <w:rPr>
          <w:rFonts w:ascii="Arial" w:hAnsi="Arial" w:cs="Arial"/>
        </w:rPr>
        <w:t xml:space="preserve"> and</w:t>
      </w:r>
      <w:r w:rsidR="00C40DEC">
        <w:rPr>
          <w:rFonts w:ascii="Arial" w:hAnsi="Arial" w:cs="Arial"/>
        </w:rPr>
        <w:t xml:space="preserve"> repeated offenses c</w:t>
      </w:r>
      <w:r w:rsidR="008D1433">
        <w:rPr>
          <w:rFonts w:ascii="Arial" w:hAnsi="Arial" w:cs="Arial"/>
        </w:rPr>
        <w:t>ould lead to termination</w:t>
      </w:r>
      <w:r w:rsidRPr="000F7873">
        <w:rPr>
          <w:rFonts w:ascii="Arial" w:hAnsi="Arial" w:cs="Arial"/>
        </w:rPr>
        <w:t>.</w:t>
      </w:r>
      <w:r>
        <w:rPr>
          <w:rFonts w:ascii="Arial" w:hAnsi="Arial" w:cs="Arial"/>
        </w:rPr>
        <w:t xml:space="preserve">  </w:t>
      </w:r>
    </w:p>
    <w:p w:rsidR="00CE327F" w:rsidRDefault="00CE327F">
      <w:pPr>
        <w:rPr>
          <w:rFonts w:ascii="Arial" w:hAnsi="Arial" w:cs="Arial"/>
          <w:b/>
          <w:u w:val="single"/>
        </w:rPr>
      </w:pPr>
    </w:p>
    <w:p w:rsidR="003275B9" w:rsidRPr="00CB6667" w:rsidRDefault="003275B9">
      <w:pPr>
        <w:rPr>
          <w:rFonts w:ascii="Arial" w:hAnsi="Arial" w:cs="Arial"/>
          <w:b/>
          <w:u w:val="single"/>
        </w:rPr>
      </w:pPr>
      <w:r w:rsidRPr="00CB6667">
        <w:rPr>
          <w:rFonts w:ascii="Arial" w:hAnsi="Arial" w:cs="Arial"/>
          <w:b/>
          <w:u w:val="single"/>
        </w:rPr>
        <w:t>Drug Free Workplace</w:t>
      </w:r>
    </w:p>
    <w:p w:rsidR="00BE5947" w:rsidRPr="00CB6667" w:rsidRDefault="00BE5947" w:rsidP="00DB68E6">
      <w:pPr>
        <w:pStyle w:val="Default"/>
        <w:rPr>
          <w:rFonts w:ascii="Arial" w:hAnsi="Arial" w:cs="Arial"/>
          <w:sz w:val="22"/>
          <w:szCs w:val="22"/>
        </w:rPr>
      </w:pPr>
      <w:r w:rsidRPr="00CB6667">
        <w:rPr>
          <w:rFonts w:ascii="Arial" w:hAnsi="Arial" w:cs="Arial"/>
          <w:sz w:val="22"/>
          <w:szCs w:val="22"/>
        </w:rPr>
        <w:t xml:space="preserve">It is the policy of TTUS and TTU to be a drug-free workplace and to prevent and eliminate drug abuse from the workplace. The TTUS and TTU have the obligation to: </w:t>
      </w:r>
    </w:p>
    <w:p w:rsidR="00BE5947" w:rsidRPr="00CB6667" w:rsidRDefault="00BE5947" w:rsidP="00671E4A">
      <w:pPr>
        <w:pStyle w:val="Default"/>
        <w:numPr>
          <w:ilvl w:val="1"/>
          <w:numId w:val="9"/>
        </w:numPr>
        <w:rPr>
          <w:rFonts w:ascii="Arial" w:hAnsi="Arial" w:cs="Arial"/>
          <w:sz w:val="22"/>
          <w:szCs w:val="22"/>
        </w:rPr>
      </w:pPr>
      <w:r w:rsidRPr="00CB6667">
        <w:rPr>
          <w:rFonts w:ascii="Arial" w:hAnsi="Arial" w:cs="Arial"/>
          <w:sz w:val="22"/>
          <w:szCs w:val="22"/>
        </w:rPr>
        <w:t xml:space="preserve">Ensure a safe work environment for all employees; </w:t>
      </w:r>
    </w:p>
    <w:p w:rsidR="00BE5947" w:rsidRPr="00CB6667" w:rsidRDefault="00BE5947" w:rsidP="00671E4A">
      <w:pPr>
        <w:pStyle w:val="Default"/>
        <w:numPr>
          <w:ilvl w:val="1"/>
          <w:numId w:val="9"/>
        </w:numPr>
        <w:rPr>
          <w:rFonts w:ascii="Arial" w:hAnsi="Arial" w:cs="Arial"/>
          <w:sz w:val="22"/>
          <w:szCs w:val="22"/>
        </w:rPr>
      </w:pPr>
      <w:r w:rsidRPr="00CB6667">
        <w:rPr>
          <w:rFonts w:ascii="Arial" w:hAnsi="Arial" w:cs="Arial"/>
          <w:sz w:val="22"/>
          <w:szCs w:val="22"/>
        </w:rPr>
        <w:t xml:space="preserve">Protect the students and other members of the public against endangerment resulting from the impairment of employees' physical or mental capabilities; </w:t>
      </w:r>
    </w:p>
    <w:p w:rsidR="00BE5947" w:rsidRPr="00CB6667" w:rsidRDefault="00BE5947" w:rsidP="00671E4A">
      <w:pPr>
        <w:pStyle w:val="Default"/>
        <w:numPr>
          <w:ilvl w:val="1"/>
          <w:numId w:val="9"/>
        </w:numPr>
        <w:rPr>
          <w:rFonts w:ascii="Arial" w:hAnsi="Arial" w:cs="Arial"/>
          <w:sz w:val="22"/>
          <w:szCs w:val="22"/>
        </w:rPr>
      </w:pPr>
      <w:r w:rsidRPr="00CB6667">
        <w:rPr>
          <w:rFonts w:ascii="Arial" w:hAnsi="Arial" w:cs="Arial"/>
          <w:sz w:val="22"/>
          <w:szCs w:val="22"/>
        </w:rPr>
        <w:lastRenderedPageBreak/>
        <w:t xml:space="preserve">Protect its property and equipment from unnecessary damage; and </w:t>
      </w:r>
    </w:p>
    <w:p w:rsidR="00BE5947" w:rsidRPr="00CB6667" w:rsidRDefault="00BE5947" w:rsidP="00671E4A">
      <w:pPr>
        <w:pStyle w:val="Default"/>
        <w:numPr>
          <w:ilvl w:val="1"/>
          <w:numId w:val="9"/>
        </w:numPr>
        <w:rPr>
          <w:rFonts w:ascii="Arial" w:hAnsi="Arial" w:cs="Arial"/>
          <w:sz w:val="22"/>
          <w:szCs w:val="22"/>
        </w:rPr>
      </w:pPr>
      <w:r w:rsidRPr="00CB6667">
        <w:rPr>
          <w:rFonts w:ascii="Arial" w:hAnsi="Arial" w:cs="Arial"/>
          <w:sz w:val="22"/>
          <w:szCs w:val="22"/>
        </w:rPr>
        <w:t xml:space="preserve">Assure that all TTUS and TTU business is conducted with efficiency and quality. </w:t>
      </w:r>
    </w:p>
    <w:p w:rsidR="00BE5947" w:rsidRPr="00CB6667" w:rsidRDefault="00BE5947" w:rsidP="00BE5947">
      <w:pPr>
        <w:pStyle w:val="Default"/>
        <w:rPr>
          <w:rFonts w:ascii="Arial" w:hAnsi="Arial" w:cs="Arial"/>
          <w:sz w:val="22"/>
          <w:szCs w:val="22"/>
        </w:rPr>
      </w:pPr>
    </w:p>
    <w:p w:rsidR="00BE5947" w:rsidRPr="00DB68E6" w:rsidRDefault="00BE5947" w:rsidP="00DB68E6">
      <w:pPr>
        <w:rPr>
          <w:rFonts w:ascii="Arial" w:hAnsi="Arial" w:cs="Arial"/>
          <w:b/>
          <w:u w:val="single"/>
        </w:rPr>
      </w:pPr>
      <w:r w:rsidRPr="00DB68E6">
        <w:rPr>
          <w:rFonts w:ascii="Arial" w:hAnsi="Arial" w:cs="Arial"/>
        </w:rPr>
        <w:t>The TTUS and TTU require, as a condition of initial and continued employment, that employees be free from the influence of alcohol and controlled substances while performing their duties as TTUS administration or TTU employees.</w:t>
      </w:r>
    </w:p>
    <w:p w:rsidR="00E71654" w:rsidRDefault="00EA510C" w:rsidP="00690B4E">
      <w:pPr>
        <w:ind w:left="7920" w:firstLine="720"/>
        <w:rPr>
          <w:rFonts w:ascii="Arial" w:hAnsi="Arial" w:cs="Arial"/>
          <w:b/>
          <w:u w:val="single"/>
        </w:rPr>
      </w:pPr>
      <w:hyperlink r:id="rId9" w:history="1">
        <w:r w:rsidR="00671E4A" w:rsidRPr="00E71654">
          <w:rPr>
            <w:rStyle w:val="Hyperlink"/>
            <w:rFonts w:ascii="Arial" w:hAnsi="Arial" w:cs="Arial"/>
          </w:rPr>
          <w:t>OP 70.35</w:t>
        </w:r>
      </w:hyperlink>
    </w:p>
    <w:p w:rsidR="00CE327F" w:rsidRDefault="00D259E8">
      <w:pPr>
        <w:rPr>
          <w:rFonts w:ascii="Arial" w:hAnsi="Arial" w:cs="Arial"/>
          <w:b/>
          <w:u w:val="single"/>
        </w:rPr>
      </w:pPr>
      <w:r>
        <w:rPr>
          <w:rFonts w:ascii="Arial" w:hAnsi="Arial" w:cs="Arial"/>
          <w:b/>
          <w:u w:val="single"/>
        </w:rPr>
        <w:t>Smoke-free and Tobacco-free Environment</w:t>
      </w:r>
    </w:p>
    <w:p w:rsidR="00D259E8" w:rsidRDefault="00D259E8" w:rsidP="00D259E8">
      <w:pPr>
        <w:pStyle w:val="ListParagraph"/>
        <w:numPr>
          <w:ilvl w:val="0"/>
          <w:numId w:val="10"/>
        </w:numPr>
        <w:rPr>
          <w:rFonts w:ascii="Arial" w:hAnsi="Arial" w:cs="Arial"/>
        </w:rPr>
      </w:pPr>
      <w:r>
        <w:rPr>
          <w:rFonts w:ascii="Arial" w:hAnsi="Arial" w:cs="Arial"/>
        </w:rPr>
        <w:t>In the interest of providing a smoke-free environment, smoking is prohibited in all campus academic, administrative, and athletic facilities.</w:t>
      </w:r>
    </w:p>
    <w:p w:rsidR="00D259E8" w:rsidRDefault="00D259E8" w:rsidP="00D259E8">
      <w:pPr>
        <w:pStyle w:val="ListParagraph"/>
        <w:numPr>
          <w:ilvl w:val="0"/>
          <w:numId w:val="10"/>
        </w:numPr>
        <w:rPr>
          <w:rFonts w:ascii="Arial" w:hAnsi="Arial" w:cs="Arial"/>
        </w:rPr>
      </w:pPr>
      <w:r>
        <w:rPr>
          <w:rFonts w:ascii="Arial" w:hAnsi="Arial" w:cs="Arial"/>
        </w:rPr>
        <w:t>Smoking areas must be located 25 feet from any facility with LEED designation and pedestrian entrance (ingress or egress) or public place. This includes entryways or walkways leading to entrances.</w:t>
      </w:r>
    </w:p>
    <w:p w:rsidR="00D259E8" w:rsidRDefault="00D259E8" w:rsidP="00D259E8">
      <w:pPr>
        <w:pStyle w:val="ListParagraph"/>
        <w:numPr>
          <w:ilvl w:val="0"/>
          <w:numId w:val="10"/>
        </w:numPr>
        <w:rPr>
          <w:rFonts w:ascii="Arial" w:hAnsi="Arial" w:cs="Arial"/>
        </w:rPr>
      </w:pPr>
      <w:r>
        <w:rPr>
          <w:rFonts w:ascii="Arial" w:hAnsi="Arial" w:cs="Arial"/>
        </w:rPr>
        <w:t>There will be no smoking above the first floor of any building.</w:t>
      </w:r>
    </w:p>
    <w:p w:rsidR="00D259E8" w:rsidRDefault="00D259E8" w:rsidP="00D259E8">
      <w:pPr>
        <w:pStyle w:val="ListParagraph"/>
        <w:numPr>
          <w:ilvl w:val="0"/>
          <w:numId w:val="10"/>
        </w:numPr>
        <w:rPr>
          <w:rFonts w:ascii="Arial" w:hAnsi="Arial" w:cs="Arial"/>
        </w:rPr>
      </w:pPr>
      <w:r>
        <w:rPr>
          <w:rFonts w:ascii="Arial" w:hAnsi="Arial" w:cs="Arial"/>
        </w:rPr>
        <w:t>Electronic cigarettes will not be permitted other than in the areas already mentioned in this O.P.</w:t>
      </w:r>
    </w:p>
    <w:p w:rsidR="00D259E8" w:rsidRPr="00D259E8" w:rsidRDefault="00EA510C" w:rsidP="00D259E8">
      <w:pPr>
        <w:pStyle w:val="ListParagraph"/>
        <w:jc w:val="right"/>
        <w:rPr>
          <w:rFonts w:ascii="Arial" w:hAnsi="Arial" w:cs="Arial"/>
        </w:rPr>
      </w:pPr>
      <w:hyperlink r:id="rId10" w:history="1">
        <w:r w:rsidR="00D259E8" w:rsidRPr="00D259E8">
          <w:rPr>
            <w:rStyle w:val="Hyperlink"/>
            <w:rFonts w:ascii="Arial" w:hAnsi="Arial" w:cs="Arial"/>
          </w:rPr>
          <w:t>O.P. 60.15</w:t>
        </w:r>
      </w:hyperlink>
    </w:p>
    <w:p w:rsidR="000E605F" w:rsidRPr="00CB6667" w:rsidRDefault="000E605F">
      <w:pPr>
        <w:rPr>
          <w:rFonts w:ascii="Arial" w:hAnsi="Arial" w:cs="Arial"/>
          <w:b/>
          <w:u w:val="single"/>
        </w:rPr>
      </w:pPr>
      <w:r w:rsidRPr="00CB6667">
        <w:rPr>
          <w:rFonts w:ascii="Arial" w:hAnsi="Arial" w:cs="Arial"/>
          <w:b/>
          <w:u w:val="single"/>
        </w:rPr>
        <w:t>Retention</w:t>
      </w:r>
    </w:p>
    <w:p w:rsidR="000E605F" w:rsidRPr="00CB6667" w:rsidRDefault="000E605F">
      <w:pPr>
        <w:rPr>
          <w:rFonts w:ascii="Arial" w:hAnsi="Arial" w:cs="Arial"/>
        </w:rPr>
      </w:pPr>
      <w:r w:rsidRPr="00CB6667">
        <w:rPr>
          <w:rFonts w:ascii="Arial" w:hAnsi="Arial" w:cs="Arial"/>
        </w:rPr>
        <w:t>To maintain your research assistantship</w:t>
      </w:r>
      <w:r w:rsidR="00DB68E6">
        <w:rPr>
          <w:rFonts w:ascii="Arial" w:hAnsi="Arial" w:cs="Arial"/>
        </w:rPr>
        <w:t>,</w:t>
      </w:r>
      <w:r w:rsidRPr="00CB6667">
        <w:rPr>
          <w:rFonts w:ascii="Arial" w:hAnsi="Arial" w:cs="Arial"/>
        </w:rPr>
        <w:t xml:space="preserve"> you must continue to make </w:t>
      </w:r>
      <w:r w:rsidRPr="00DB68E6">
        <w:rPr>
          <w:rFonts w:ascii="Arial" w:hAnsi="Arial" w:cs="Arial"/>
          <w:color w:val="FF0000"/>
        </w:rPr>
        <w:t xml:space="preserve">satisfactory progress </w:t>
      </w:r>
      <w:r w:rsidRPr="00CB6667">
        <w:rPr>
          <w:rFonts w:ascii="Arial" w:hAnsi="Arial" w:cs="Arial"/>
        </w:rPr>
        <w:t>toward the completion of your degree</w:t>
      </w:r>
      <w:r w:rsidR="00DB68E6">
        <w:rPr>
          <w:rFonts w:ascii="Arial" w:hAnsi="Arial" w:cs="Arial"/>
        </w:rPr>
        <w:t xml:space="preserve"> and be in good academic standing with the university</w:t>
      </w:r>
      <w:r w:rsidRPr="00CB6667">
        <w:rPr>
          <w:rFonts w:ascii="Arial" w:hAnsi="Arial" w:cs="Arial"/>
        </w:rPr>
        <w:t>.  The Graduate School will periodically review your academic status for</w:t>
      </w:r>
      <w:r w:rsidR="00DB68E6">
        <w:rPr>
          <w:rFonts w:ascii="Arial" w:hAnsi="Arial" w:cs="Arial"/>
        </w:rPr>
        <w:t xml:space="preserve"> the following</w:t>
      </w:r>
      <w:r w:rsidRPr="00CB6667">
        <w:rPr>
          <w:rFonts w:ascii="Arial" w:hAnsi="Arial" w:cs="Arial"/>
        </w:rPr>
        <w:t>:</w:t>
      </w:r>
    </w:p>
    <w:p w:rsidR="000E605F" w:rsidRPr="00CB6667" w:rsidRDefault="000E605F" w:rsidP="000E605F">
      <w:pPr>
        <w:pStyle w:val="ListParagraph"/>
        <w:numPr>
          <w:ilvl w:val="0"/>
          <w:numId w:val="4"/>
        </w:numPr>
        <w:rPr>
          <w:rFonts w:ascii="Arial" w:hAnsi="Arial" w:cs="Arial"/>
        </w:rPr>
      </w:pPr>
      <w:r w:rsidRPr="00CB6667">
        <w:rPr>
          <w:rFonts w:ascii="Arial" w:hAnsi="Arial" w:cs="Arial"/>
        </w:rPr>
        <w:t>You must maintain a grade point average of 3.0</w:t>
      </w:r>
      <w:r w:rsidR="00201538" w:rsidRPr="00CB6667">
        <w:rPr>
          <w:rFonts w:ascii="Arial" w:hAnsi="Arial" w:cs="Arial"/>
        </w:rPr>
        <w:t>. If your grade point average falls below the required 3.0 your employment may be terminated.</w:t>
      </w:r>
    </w:p>
    <w:p w:rsidR="00DB68E6" w:rsidRDefault="00201538" w:rsidP="00DB68E6">
      <w:pPr>
        <w:pStyle w:val="ListParagraph"/>
        <w:numPr>
          <w:ilvl w:val="0"/>
          <w:numId w:val="4"/>
        </w:numPr>
        <w:rPr>
          <w:rFonts w:ascii="Arial" w:hAnsi="Arial" w:cs="Arial"/>
        </w:rPr>
      </w:pPr>
      <w:r w:rsidRPr="00CB6667">
        <w:rPr>
          <w:rFonts w:ascii="Arial" w:hAnsi="Arial" w:cs="Arial"/>
        </w:rPr>
        <w:t xml:space="preserve">You are expected to make satisfactory progress toward completing your degree in a timely manner. If you accumulate excessive hours you may not be eligible for future terms as a research assistant.  </w:t>
      </w:r>
      <w:r w:rsidRPr="00DB68E6">
        <w:rPr>
          <w:rFonts w:ascii="Arial" w:hAnsi="Arial" w:cs="Arial"/>
          <w:color w:val="FF0000"/>
        </w:rPr>
        <w:t>The completion of your degree may not be delayed in order to prolong your assistantship appointment</w:t>
      </w:r>
      <w:r w:rsidRPr="00CB6667">
        <w:rPr>
          <w:rFonts w:ascii="Arial" w:hAnsi="Arial" w:cs="Arial"/>
        </w:rPr>
        <w:t>.</w:t>
      </w:r>
    </w:p>
    <w:p w:rsidR="00DB68E6" w:rsidRDefault="00DB68E6" w:rsidP="00690B4E">
      <w:pPr>
        <w:rPr>
          <w:rFonts w:ascii="Arial" w:hAnsi="Arial" w:cs="Arial"/>
        </w:rPr>
      </w:pPr>
      <w:r w:rsidRPr="00DB68E6">
        <w:rPr>
          <w:rFonts w:ascii="Arial" w:hAnsi="Arial" w:cs="Arial"/>
        </w:rPr>
        <w:t xml:space="preserve">If you meet the employee, satisfactory progress and GPA requirements, we </w:t>
      </w:r>
      <w:r>
        <w:rPr>
          <w:rFonts w:ascii="Arial" w:hAnsi="Arial" w:cs="Arial"/>
        </w:rPr>
        <w:t>commit to providing</w:t>
      </w:r>
      <w:r w:rsidRPr="00DB68E6">
        <w:rPr>
          <w:rFonts w:ascii="Arial" w:hAnsi="Arial" w:cs="Arial"/>
        </w:rPr>
        <w:t xml:space="preserve"> you with an assistantship for four years or through 99 hours of coursework, whichever comes first.</w:t>
      </w:r>
      <w:r w:rsidRPr="00DB68E6">
        <w:rPr>
          <w:rFonts w:ascii="Times New Roman" w:eastAsia="Calibri" w:hAnsi="Times New Roman" w:cs="Times New Roman"/>
          <w:color w:val="000000" w:themeColor="text1"/>
          <w:kern w:val="24"/>
          <w:sz w:val="28"/>
          <w:szCs w:val="28"/>
        </w:rPr>
        <w:t xml:space="preserve"> </w:t>
      </w:r>
      <w:r>
        <w:rPr>
          <w:rFonts w:ascii="Arial" w:hAnsi="Arial" w:cs="Arial"/>
        </w:rPr>
        <w:t>However, r</w:t>
      </w:r>
      <w:r w:rsidR="005074E0" w:rsidRPr="00DB68E6">
        <w:rPr>
          <w:rFonts w:ascii="Arial" w:hAnsi="Arial" w:cs="Arial"/>
        </w:rPr>
        <w:t xml:space="preserve">enewal of appointments is not automatic. Reappointments are based on </w:t>
      </w:r>
      <w:r w:rsidRPr="00DB68E6">
        <w:rPr>
          <w:rFonts w:ascii="Arial" w:hAnsi="Arial" w:cs="Arial"/>
        </w:rPr>
        <w:t>the availability of funds, department determination of satisfactory performance and department needs. Graduate assistants, who fail to meet eligibility</w:t>
      </w:r>
      <w:r>
        <w:rPr>
          <w:rFonts w:ascii="Arial" w:hAnsi="Arial" w:cs="Arial"/>
        </w:rPr>
        <w:t xml:space="preserve"> </w:t>
      </w:r>
      <w:r w:rsidRPr="00DB68E6">
        <w:rPr>
          <w:rFonts w:ascii="Arial" w:hAnsi="Arial" w:cs="Arial"/>
        </w:rPr>
        <w:t>requirements, will be denied renewal.</w:t>
      </w:r>
    </w:p>
    <w:p w:rsidR="00690B4E" w:rsidRPr="00DB68E6" w:rsidRDefault="00690B4E" w:rsidP="00690B4E">
      <w:pPr>
        <w:rPr>
          <w:rFonts w:ascii="Arial" w:hAnsi="Arial" w:cs="Arial"/>
        </w:rPr>
      </w:pPr>
    </w:p>
    <w:p w:rsidR="000E605F" w:rsidRPr="00CB6667" w:rsidRDefault="00CB6667">
      <w:pPr>
        <w:rPr>
          <w:rFonts w:ascii="Arial" w:hAnsi="Arial" w:cs="Arial"/>
          <w:b/>
          <w:u w:val="single"/>
        </w:rPr>
      </w:pPr>
      <w:r>
        <w:rPr>
          <w:rFonts w:ascii="Arial" w:hAnsi="Arial" w:cs="Arial"/>
          <w:b/>
          <w:u w:val="single"/>
        </w:rPr>
        <w:t>E</w:t>
      </w:r>
      <w:r w:rsidR="00201538" w:rsidRPr="00CB6667">
        <w:rPr>
          <w:rFonts w:ascii="Arial" w:hAnsi="Arial" w:cs="Arial"/>
          <w:b/>
          <w:u w:val="single"/>
        </w:rPr>
        <w:t>nrollment and Class Load Requirements</w:t>
      </w:r>
    </w:p>
    <w:p w:rsidR="00201538" w:rsidRPr="00CB6667" w:rsidRDefault="00201538">
      <w:pPr>
        <w:rPr>
          <w:rFonts w:ascii="Arial" w:hAnsi="Arial" w:cs="Arial"/>
        </w:rPr>
      </w:pPr>
      <w:r w:rsidRPr="00CB6667">
        <w:rPr>
          <w:rFonts w:ascii="Arial" w:hAnsi="Arial" w:cs="Arial"/>
        </w:rPr>
        <w:t>Graduate student employees</w:t>
      </w:r>
      <w:r w:rsidR="00C676AE">
        <w:rPr>
          <w:rFonts w:ascii="Arial" w:hAnsi="Arial" w:cs="Arial"/>
        </w:rPr>
        <w:t xml:space="preserve"> must meet the following enrollment criteria</w:t>
      </w:r>
      <w:r w:rsidRPr="00CB6667">
        <w:rPr>
          <w:rFonts w:ascii="Arial" w:hAnsi="Arial" w:cs="Arial"/>
        </w:rPr>
        <w:t>:</w:t>
      </w:r>
    </w:p>
    <w:p w:rsidR="00201538" w:rsidRPr="00CB6667" w:rsidRDefault="00C676AE" w:rsidP="00201538">
      <w:pPr>
        <w:pStyle w:val="ListParagraph"/>
        <w:numPr>
          <w:ilvl w:val="0"/>
          <w:numId w:val="5"/>
        </w:numPr>
        <w:rPr>
          <w:rFonts w:ascii="Arial" w:hAnsi="Arial" w:cs="Arial"/>
        </w:rPr>
      </w:pPr>
      <w:r>
        <w:rPr>
          <w:rFonts w:ascii="Arial" w:hAnsi="Arial" w:cs="Arial"/>
        </w:rPr>
        <w:t>RA’s must enroll in a</w:t>
      </w:r>
      <w:r w:rsidR="00201538" w:rsidRPr="00CB6667">
        <w:rPr>
          <w:rFonts w:ascii="Arial" w:hAnsi="Arial" w:cs="Arial"/>
        </w:rPr>
        <w:t>t least 9 hours of graduate credit during Spring and Fall appointments</w:t>
      </w:r>
    </w:p>
    <w:p w:rsidR="00201538" w:rsidRPr="00CB6667" w:rsidRDefault="00C676AE" w:rsidP="00201538">
      <w:pPr>
        <w:pStyle w:val="ListParagraph"/>
        <w:numPr>
          <w:ilvl w:val="0"/>
          <w:numId w:val="5"/>
        </w:numPr>
        <w:rPr>
          <w:rFonts w:ascii="Arial" w:hAnsi="Arial" w:cs="Arial"/>
        </w:rPr>
      </w:pPr>
      <w:r>
        <w:rPr>
          <w:rFonts w:ascii="Arial" w:hAnsi="Arial" w:cs="Arial"/>
        </w:rPr>
        <w:lastRenderedPageBreak/>
        <w:t>RA’s must enroll in a</w:t>
      </w:r>
      <w:r w:rsidR="00201538" w:rsidRPr="00CB6667">
        <w:rPr>
          <w:rFonts w:ascii="Arial" w:hAnsi="Arial" w:cs="Arial"/>
        </w:rPr>
        <w:t>t least 3 hours of graduate credit for each summer session the student is employed.</w:t>
      </w:r>
    </w:p>
    <w:p w:rsidR="00201538" w:rsidRPr="00CB6667" w:rsidRDefault="00201538" w:rsidP="00201538">
      <w:pPr>
        <w:pStyle w:val="ListParagraph"/>
        <w:numPr>
          <w:ilvl w:val="0"/>
          <w:numId w:val="5"/>
        </w:numPr>
        <w:rPr>
          <w:rFonts w:ascii="Arial" w:hAnsi="Arial" w:cs="Arial"/>
        </w:rPr>
      </w:pPr>
      <w:r w:rsidRPr="00CB6667">
        <w:rPr>
          <w:rFonts w:ascii="Arial" w:hAnsi="Arial" w:cs="Arial"/>
        </w:rPr>
        <w:t>Courses listed as “not for graduate credit” or courses taken as an audit do not count toward the enrollment requirement.</w:t>
      </w:r>
    </w:p>
    <w:p w:rsidR="00DB68E6" w:rsidRDefault="00201538" w:rsidP="00564369">
      <w:pPr>
        <w:pStyle w:val="ListParagraph"/>
        <w:numPr>
          <w:ilvl w:val="0"/>
          <w:numId w:val="5"/>
        </w:numPr>
        <w:rPr>
          <w:rFonts w:ascii="Arial" w:hAnsi="Arial" w:cs="Arial"/>
        </w:rPr>
      </w:pPr>
      <w:r w:rsidRPr="00CB6667">
        <w:rPr>
          <w:rFonts w:ascii="Arial" w:hAnsi="Arial" w:cs="Arial"/>
        </w:rPr>
        <w:t xml:space="preserve">If a graduate student withdraws from the </w:t>
      </w:r>
      <w:r w:rsidR="00C10EE3" w:rsidRPr="00CB6667">
        <w:rPr>
          <w:rFonts w:ascii="Arial" w:hAnsi="Arial" w:cs="Arial"/>
        </w:rPr>
        <w:t>University,</w:t>
      </w:r>
      <w:r w:rsidRPr="00CB6667">
        <w:rPr>
          <w:rFonts w:ascii="Arial" w:hAnsi="Arial" w:cs="Arial"/>
        </w:rPr>
        <w:t xml:space="preserve"> their assistantship appointment is t</w:t>
      </w:r>
      <w:r w:rsidR="00DB68E6">
        <w:rPr>
          <w:rFonts w:ascii="Arial" w:hAnsi="Arial" w:cs="Arial"/>
        </w:rPr>
        <w:t>erminated immediately</w:t>
      </w:r>
      <w:r w:rsidRPr="00CB6667">
        <w:rPr>
          <w:rFonts w:ascii="Arial" w:hAnsi="Arial" w:cs="Arial"/>
        </w:rPr>
        <w:t xml:space="preserve"> along with any related tuition/fee waivers. Student employees withdrawing from the University may</w:t>
      </w:r>
      <w:r w:rsidR="000C2C6F">
        <w:rPr>
          <w:rFonts w:ascii="Arial" w:hAnsi="Arial" w:cs="Arial"/>
        </w:rPr>
        <w:t xml:space="preserve"> be responsible for repaying any</w:t>
      </w:r>
      <w:r w:rsidRPr="00CB6667">
        <w:rPr>
          <w:rFonts w:ascii="Arial" w:hAnsi="Arial" w:cs="Arial"/>
        </w:rPr>
        <w:t xml:space="preserve"> tuition/fee previously waived.</w:t>
      </w:r>
    </w:p>
    <w:p w:rsidR="00C676AE" w:rsidRPr="00E71654" w:rsidRDefault="00C676AE" w:rsidP="00C676AE">
      <w:pPr>
        <w:pStyle w:val="ListParagraph"/>
        <w:rPr>
          <w:rFonts w:ascii="Arial" w:hAnsi="Arial" w:cs="Arial"/>
        </w:rPr>
      </w:pPr>
    </w:p>
    <w:p w:rsidR="00564369" w:rsidRDefault="00564369" w:rsidP="00564369">
      <w:pPr>
        <w:rPr>
          <w:rFonts w:ascii="Arial" w:hAnsi="Arial" w:cs="Arial"/>
          <w:b/>
          <w:u w:val="single"/>
        </w:rPr>
      </w:pPr>
      <w:r>
        <w:rPr>
          <w:rFonts w:ascii="Arial" w:hAnsi="Arial" w:cs="Arial"/>
          <w:b/>
          <w:u w:val="single"/>
        </w:rPr>
        <w:t>Training</w:t>
      </w:r>
      <w:r w:rsidR="00DB68E6">
        <w:rPr>
          <w:rFonts w:ascii="Arial" w:hAnsi="Arial" w:cs="Arial"/>
          <w:b/>
          <w:u w:val="single"/>
        </w:rPr>
        <w:t xml:space="preserve"> and Supervision</w:t>
      </w:r>
    </w:p>
    <w:p w:rsidR="00564369" w:rsidRPr="00564369" w:rsidRDefault="00DB68E6" w:rsidP="00564369">
      <w:pPr>
        <w:rPr>
          <w:rFonts w:ascii="Arial" w:hAnsi="Arial" w:cs="Arial"/>
        </w:rPr>
      </w:pPr>
      <w:r>
        <w:rPr>
          <w:rFonts w:ascii="Arial" w:hAnsi="Arial" w:cs="Arial"/>
        </w:rPr>
        <w:t xml:space="preserve">Departments employing graduate assistants conduct the regular supervision and evaluation of the graduate assistant’s performance. </w:t>
      </w:r>
      <w:r w:rsidR="00564369">
        <w:rPr>
          <w:rFonts w:ascii="Arial" w:hAnsi="Arial" w:cs="Arial"/>
        </w:rPr>
        <w:t xml:space="preserve">Research Assistants provide valuable support to faculty within the College of Education and are involved in various levels of gathering research information. </w:t>
      </w:r>
      <w:r w:rsidR="001C77EF">
        <w:rPr>
          <w:rFonts w:ascii="Arial" w:hAnsi="Arial" w:cs="Arial"/>
        </w:rPr>
        <w:t>To equip research assistants</w:t>
      </w:r>
      <w:r w:rsidR="00311514">
        <w:rPr>
          <w:rFonts w:ascii="Arial" w:hAnsi="Arial" w:cs="Arial"/>
        </w:rPr>
        <w:t xml:space="preserve"> with the skills needed</w:t>
      </w:r>
      <w:r w:rsidR="00AC4357">
        <w:rPr>
          <w:rFonts w:ascii="Arial" w:hAnsi="Arial" w:cs="Arial"/>
        </w:rPr>
        <w:t>,</w:t>
      </w:r>
      <w:r w:rsidR="001C77EF">
        <w:rPr>
          <w:rFonts w:ascii="Arial" w:hAnsi="Arial" w:cs="Arial"/>
        </w:rPr>
        <w:t xml:space="preserve"> students are required to complete Human Subjects and Responsible Conduct </w:t>
      </w:r>
      <w:r w:rsidR="00460EF4">
        <w:rPr>
          <w:rFonts w:ascii="Arial" w:hAnsi="Arial" w:cs="Arial"/>
        </w:rPr>
        <w:t xml:space="preserve">of Research </w:t>
      </w:r>
      <w:r w:rsidR="001C77EF">
        <w:rPr>
          <w:rFonts w:ascii="Arial" w:hAnsi="Arial" w:cs="Arial"/>
        </w:rPr>
        <w:t xml:space="preserve">training through the CITI Program (www.citiprogram.org). </w:t>
      </w:r>
      <w:r w:rsidR="00471D0F">
        <w:rPr>
          <w:rFonts w:ascii="Arial" w:hAnsi="Arial" w:cs="Arial"/>
        </w:rPr>
        <w:t xml:space="preserve"> </w:t>
      </w:r>
      <w:r w:rsidR="001C77EF">
        <w:rPr>
          <w:rFonts w:ascii="Arial" w:hAnsi="Arial" w:cs="Arial"/>
        </w:rPr>
        <w:t xml:space="preserve">CITI training will need to be renewed every three years.  </w:t>
      </w:r>
      <w:r>
        <w:rPr>
          <w:rFonts w:ascii="Arial" w:hAnsi="Arial" w:cs="Arial"/>
        </w:rPr>
        <w:t>You are also required to complete FERPA training through the Human Resources website. Periodic d</w:t>
      </w:r>
      <w:r w:rsidR="00564369">
        <w:rPr>
          <w:rFonts w:ascii="Arial" w:hAnsi="Arial" w:cs="Arial"/>
        </w:rPr>
        <w:t xml:space="preserve">evelopment workshops </w:t>
      </w:r>
      <w:r>
        <w:rPr>
          <w:rFonts w:ascii="Arial" w:hAnsi="Arial" w:cs="Arial"/>
        </w:rPr>
        <w:t xml:space="preserve">are required </w:t>
      </w:r>
      <w:r w:rsidR="00564369">
        <w:rPr>
          <w:rFonts w:ascii="Arial" w:hAnsi="Arial" w:cs="Arial"/>
        </w:rPr>
        <w:t>throughout the year</w:t>
      </w:r>
      <w:r w:rsidR="001C77EF">
        <w:rPr>
          <w:rFonts w:ascii="Arial" w:hAnsi="Arial" w:cs="Arial"/>
        </w:rPr>
        <w:t xml:space="preserve"> from the College of Education and the Graduate School</w:t>
      </w:r>
      <w:r w:rsidR="00564369">
        <w:rPr>
          <w:rFonts w:ascii="Arial" w:hAnsi="Arial" w:cs="Arial"/>
        </w:rPr>
        <w:t xml:space="preserve">.  </w:t>
      </w:r>
      <w:r>
        <w:rPr>
          <w:rFonts w:ascii="Arial" w:hAnsi="Arial" w:cs="Arial"/>
        </w:rPr>
        <w:t xml:space="preserve">A schedule of required workshops and meetings will be provided at the beginning of your appointment.  In general, you will be </w:t>
      </w:r>
      <w:r w:rsidR="00564369">
        <w:rPr>
          <w:rFonts w:ascii="Arial" w:hAnsi="Arial" w:cs="Arial"/>
        </w:rPr>
        <w:t>req</w:t>
      </w:r>
      <w:r w:rsidR="00AC4357">
        <w:rPr>
          <w:rFonts w:ascii="Arial" w:hAnsi="Arial" w:cs="Arial"/>
        </w:rPr>
        <w:t>uired to attend two development</w:t>
      </w:r>
      <w:r w:rsidR="00564369">
        <w:rPr>
          <w:rFonts w:ascii="Arial" w:hAnsi="Arial" w:cs="Arial"/>
        </w:rPr>
        <w:t xml:space="preserve"> workshops each semester</w:t>
      </w:r>
      <w:r>
        <w:rPr>
          <w:rFonts w:ascii="Arial" w:hAnsi="Arial" w:cs="Arial"/>
        </w:rPr>
        <w:t xml:space="preserve"> and one town hall meeting each semester</w:t>
      </w:r>
      <w:r w:rsidR="00564369">
        <w:rPr>
          <w:rFonts w:ascii="Arial" w:hAnsi="Arial" w:cs="Arial"/>
        </w:rPr>
        <w:t xml:space="preserve">.  </w:t>
      </w:r>
    </w:p>
    <w:p w:rsidR="00DB68E6" w:rsidRDefault="00DB68E6">
      <w:pPr>
        <w:rPr>
          <w:rFonts w:ascii="Arial" w:hAnsi="Arial" w:cs="Arial"/>
          <w:b/>
          <w:u w:val="single"/>
        </w:rPr>
      </w:pPr>
    </w:p>
    <w:p w:rsidR="00201538" w:rsidRPr="00AA4C8B" w:rsidRDefault="00201538">
      <w:pPr>
        <w:rPr>
          <w:rFonts w:ascii="Arial" w:hAnsi="Arial" w:cs="Arial"/>
          <w:b/>
          <w:u w:val="single"/>
        </w:rPr>
      </w:pPr>
      <w:r w:rsidRPr="00AA4C8B">
        <w:rPr>
          <w:rFonts w:ascii="Arial" w:hAnsi="Arial" w:cs="Arial"/>
          <w:b/>
          <w:u w:val="single"/>
        </w:rPr>
        <w:t>Workspace</w:t>
      </w:r>
    </w:p>
    <w:p w:rsidR="008533F5" w:rsidRPr="00AA4C8B" w:rsidRDefault="00201538" w:rsidP="008533F5">
      <w:pPr>
        <w:rPr>
          <w:rFonts w:ascii="Arial" w:hAnsi="Arial" w:cs="Arial"/>
        </w:rPr>
      </w:pPr>
      <w:r w:rsidRPr="00AA4C8B">
        <w:rPr>
          <w:rFonts w:ascii="Arial" w:hAnsi="Arial" w:cs="Arial"/>
        </w:rPr>
        <w:t xml:space="preserve">Workspace is available within the College and can be requested through the </w:t>
      </w:r>
      <w:r w:rsidR="00525019">
        <w:rPr>
          <w:rFonts w:ascii="Arial" w:hAnsi="Arial" w:cs="Arial"/>
        </w:rPr>
        <w:t>Department of Operations located in t</w:t>
      </w:r>
      <w:r w:rsidR="0031071A">
        <w:rPr>
          <w:rFonts w:ascii="Arial" w:hAnsi="Arial" w:cs="Arial"/>
        </w:rPr>
        <w:t>h</w:t>
      </w:r>
      <w:r w:rsidR="00E71654">
        <w:rPr>
          <w:rFonts w:ascii="Arial" w:hAnsi="Arial" w:cs="Arial"/>
        </w:rPr>
        <w:t>e College of Education, room 114</w:t>
      </w:r>
      <w:r w:rsidRPr="00AA4C8B">
        <w:rPr>
          <w:rFonts w:ascii="Arial" w:hAnsi="Arial" w:cs="Arial"/>
        </w:rPr>
        <w:t>.</w:t>
      </w:r>
      <w:r w:rsidR="008533F5" w:rsidRPr="00AA4C8B">
        <w:rPr>
          <w:rFonts w:ascii="Arial" w:hAnsi="Arial" w:cs="Arial"/>
        </w:rPr>
        <w:t xml:space="preserve">  Once </w:t>
      </w:r>
      <w:r w:rsidR="006C0FA6">
        <w:rPr>
          <w:rFonts w:ascii="Arial" w:hAnsi="Arial" w:cs="Arial"/>
        </w:rPr>
        <w:t xml:space="preserve">a </w:t>
      </w:r>
      <w:r w:rsidR="008533F5" w:rsidRPr="00AA4C8B">
        <w:rPr>
          <w:rFonts w:ascii="Arial" w:hAnsi="Arial" w:cs="Arial"/>
        </w:rPr>
        <w:t xml:space="preserve">workspace is </w:t>
      </w:r>
      <w:r w:rsidR="00C10EE3" w:rsidRPr="00AA4C8B">
        <w:rPr>
          <w:rFonts w:ascii="Arial" w:hAnsi="Arial" w:cs="Arial"/>
        </w:rPr>
        <w:t>assigned,</w:t>
      </w:r>
      <w:r w:rsidR="008533F5" w:rsidRPr="00AA4C8B">
        <w:rPr>
          <w:rFonts w:ascii="Arial" w:hAnsi="Arial" w:cs="Arial"/>
        </w:rPr>
        <w:t xml:space="preserve"> it cannot be traded without the authorization of the Department of Operations. Although it </w:t>
      </w:r>
      <w:r w:rsidR="00C10EE3" w:rsidRPr="00AA4C8B">
        <w:rPr>
          <w:rFonts w:ascii="Arial" w:hAnsi="Arial" w:cs="Arial"/>
        </w:rPr>
        <w:t>does not</w:t>
      </w:r>
      <w:r w:rsidR="008533F5" w:rsidRPr="00AA4C8B">
        <w:rPr>
          <w:rFonts w:ascii="Arial" w:hAnsi="Arial" w:cs="Arial"/>
        </w:rPr>
        <w:t xml:space="preserve"> happen </w:t>
      </w:r>
      <w:r w:rsidR="00C10EE3" w:rsidRPr="00AA4C8B">
        <w:rPr>
          <w:rFonts w:ascii="Arial" w:hAnsi="Arial" w:cs="Arial"/>
        </w:rPr>
        <w:t>often,</w:t>
      </w:r>
      <w:r w:rsidR="008533F5" w:rsidRPr="00AA4C8B">
        <w:rPr>
          <w:rFonts w:ascii="Arial" w:hAnsi="Arial" w:cs="Arial"/>
        </w:rPr>
        <w:t xml:space="preserve"> it may be necessary for workspace</w:t>
      </w:r>
      <w:r w:rsidR="00DB68E6">
        <w:rPr>
          <w:rFonts w:ascii="Arial" w:hAnsi="Arial" w:cs="Arial"/>
        </w:rPr>
        <w:t xml:space="preserve"> to be shared with other graduate students or </w:t>
      </w:r>
      <w:r w:rsidR="008533F5" w:rsidRPr="00AA4C8B">
        <w:rPr>
          <w:rFonts w:ascii="Arial" w:hAnsi="Arial" w:cs="Arial"/>
        </w:rPr>
        <w:t xml:space="preserve">re-assigned by the Department of Operations. </w:t>
      </w:r>
      <w:r w:rsidR="00A041C8" w:rsidRPr="00AA4C8B">
        <w:rPr>
          <w:rFonts w:ascii="Arial" w:hAnsi="Arial" w:cs="Arial"/>
        </w:rPr>
        <w:t>Workspace in the College is consider</w:t>
      </w:r>
      <w:r w:rsidR="0031071A">
        <w:rPr>
          <w:rFonts w:ascii="Arial" w:hAnsi="Arial" w:cs="Arial"/>
        </w:rPr>
        <w:t xml:space="preserve">ed professional office space. As </w:t>
      </w:r>
      <w:r w:rsidR="00C10EE3">
        <w:rPr>
          <w:rFonts w:ascii="Arial" w:hAnsi="Arial" w:cs="Arial"/>
        </w:rPr>
        <w:t>such,</w:t>
      </w:r>
      <w:r w:rsidR="00A041C8" w:rsidRPr="00AA4C8B">
        <w:rPr>
          <w:rFonts w:ascii="Arial" w:hAnsi="Arial" w:cs="Arial"/>
        </w:rPr>
        <w:t xml:space="preserve"> graduate students will be expected to:</w:t>
      </w:r>
    </w:p>
    <w:p w:rsidR="008533F5" w:rsidRPr="00AA4C8B" w:rsidRDefault="008533F5" w:rsidP="00A041C8">
      <w:pPr>
        <w:pStyle w:val="ListParagraph"/>
        <w:numPr>
          <w:ilvl w:val="0"/>
          <w:numId w:val="6"/>
        </w:numPr>
        <w:rPr>
          <w:rFonts w:ascii="Arial" w:hAnsi="Arial" w:cs="Arial"/>
        </w:rPr>
      </w:pPr>
      <w:r w:rsidRPr="00AA4C8B">
        <w:rPr>
          <w:rFonts w:ascii="Arial" w:hAnsi="Arial" w:cs="Arial"/>
        </w:rPr>
        <w:t>Keep all assigned equipment within their workspace.</w:t>
      </w:r>
    </w:p>
    <w:p w:rsidR="00A041C8" w:rsidRPr="00AA4C8B" w:rsidRDefault="00A041C8" w:rsidP="00A041C8">
      <w:pPr>
        <w:pStyle w:val="ListParagraph"/>
        <w:numPr>
          <w:ilvl w:val="0"/>
          <w:numId w:val="6"/>
        </w:numPr>
        <w:rPr>
          <w:rFonts w:ascii="Arial" w:hAnsi="Arial" w:cs="Arial"/>
        </w:rPr>
      </w:pPr>
      <w:r w:rsidRPr="00AA4C8B">
        <w:rPr>
          <w:rFonts w:ascii="Arial" w:hAnsi="Arial" w:cs="Arial"/>
        </w:rPr>
        <w:t>Maintain a clean work area.</w:t>
      </w:r>
    </w:p>
    <w:p w:rsidR="00A041C8" w:rsidRPr="00AA4C8B" w:rsidRDefault="00A041C8" w:rsidP="00A041C8">
      <w:pPr>
        <w:pStyle w:val="ListParagraph"/>
        <w:numPr>
          <w:ilvl w:val="0"/>
          <w:numId w:val="6"/>
        </w:numPr>
        <w:rPr>
          <w:rFonts w:ascii="Arial" w:hAnsi="Arial" w:cs="Arial"/>
        </w:rPr>
      </w:pPr>
      <w:r w:rsidRPr="00AA4C8B">
        <w:rPr>
          <w:rFonts w:ascii="Arial" w:hAnsi="Arial" w:cs="Arial"/>
        </w:rPr>
        <w:t>Be respectful of others who work in the assigned space.</w:t>
      </w:r>
    </w:p>
    <w:p w:rsidR="00A041C8" w:rsidRPr="00AA4C8B" w:rsidRDefault="00A041C8" w:rsidP="00A041C8">
      <w:pPr>
        <w:pStyle w:val="ListParagraph"/>
        <w:numPr>
          <w:ilvl w:val="0"/>
          <w:numId w:val="6"/>
        </w:numPr>
        <w:rPr>
          <w:rFonts w:ascii="Arial" w:hAnsi="Arial" w:cs="Arial"/>
        </w:rPr>
      </w:pPr>
      <w:r w:rsidRPr="00AA4C8B">
        <w:rPr>
          <w:rFonts w:ascii="Arial" w:hAnsi="Arial" w:cs="Arial"/>
        </w:rPr>
        <w:t>Assist in the care of common equipment within the room.</w:t>
      </w:r>
    </w:p>
    <w:p w:rsidR="00A041C8" w:rsidRDefault="00A041C8" w:rsidP="00A041C8">
      <w:pPr>
        <w:pStyle w:val="ListParagraph"/>
        <w:numPr>
          <w:ilvl w:val="0"/>
          <w:numId w:val="6"/>
        </w:numPr>
        <w:rPr>
          <w:rFonts w:ascii="Arial" w:hAnsi="Arial" w:cs="Arial"/>
        </w:rPr>
      </w:pPr>
      <w:r w:rsidRPr="00AA4C8B">
        <w:rPr>
          <w:rFonts w:ascii="Arial" w:hAnsi="Arial" w:cs="Arial"/>
        </w:rPr>
        <w:t>Keep trash, boxes, and other items from accumulating in the space.</w:t>
      </w:r>
      <w:r w:rsidR="00EB6534">
        <w:rPr>
          <w:rFonts w:ascii="Arial" w:hAnsi="Arial" w:cs="Arial"/>
        </w:rPr>
        <w:t xml:space="preserve"> Do not place items on top of the workspaces.</w:t>
      </w:r>
    </w:p>
    <w:p w:rsidR="00690B4E" w:rsidRDefault="00690B4E" w:rsidP="00690B4E">
      <w:pPr>
        <w:rPr>
          <w:rFonts w:ascii="Arial" w:hAnsi="Arial" w:cs="Arial"/>
        </w:rPr>
      </w:pPr>
    </w:p>
    <w:p w:rsidR="00690B4E" w:rsidRPr="00690B4E" w:rsidRDefault="00690B4E" w:rsidP="00690B4E">
      <w:pPr>
        <w:rPr>
          <w:rFonts w:ascii="Arial" w:hAnsi="Arial" w:cs="Arial"/>
        </w:rPr>
      </w:pPr>
    </w:p>
    <w:p w:rsidR="00DB68E6" w:rsidRDefault="00DB68E6">
      <w:pPr>
        <w:rPr>
          <w:rFonts w:ascii="Arial" w:hAnsi="Arial" w:cs="Arial"/>
          <w:b/>
          <w:u w:val="single"/>
        </w:rPr>
      </w:pPr>
    </w:p>
    <w:p w:rsidR="00A041C8" w:rsidRPr="00CB6667" w:rsidRDefault="00A041C8">
      <w:pPr>
        <w:rPr>
          <w:rFonts w:ascii="Arial" w:hAnsi="Arial" w:cs="Arial"/>
          <w:b/>
          <w:u w:val="single"/>
        </w:rPr>
      </w:pPr>
      <w:r w:rsidRPr="00CB6667">
        <w:rPr>
          <w:rFonts w:ascii="Arial" w:hAnsi="Arial" w:cs="Arial"/>
          <w:b/>
          <w:u w:val="single"/>
        </w:rPr>
        <w:lastRenderedPageBreak/>
        <w:t>Keys</w:t>
      </w:r>
    </w:p>
    <w:p w:rsidR="00DB68E6" w:rsidRPr="00690B4E" w:rsidRDefault="004D7F7F">
      <w:pPr>
        <w:rPr>
          <w:rFonts w:ascii="Arial" w:hAnsi="Arial" w:cs="Arial"/>
        </w:rPr>
      </w:pPr>
      <w:r>
        <w:rPr>
          <w:rFonts w:ascii="Arial" w:hAnsi="Arial" w:cs="Arial"/>
        </w:rPr>
        <w:t>Office keys will be assigned</w:t>
      </w:r>
      <w:r w:rsidR="00A041C8" w:rsidRPr="004D7F7F">
        <w:rPr>
          <w:rFonts w:ascii="Arial" w:hAnsi="Arial" w:cs="Arial"/>
        </w:rPr>
        <w:t xml:space="preserve"> through the </w:t>
      </w:r>
      <w:r w:rsidR="00564369">
        <w:rPr>
          <w:rFonts w:ascii="Arial" w:hAnsi="Arial" w:cs="Arial"/>
        </w:rPr>
        <w:t>Department of Operations</w:t>
      </w:r>
      <w:r w:rsidR="00A041C8" w:rsidRPr="004D7F7F">
        <w:rPr>
          <w:rFonts w:ascii="Arial" w:hAnsi="Arial" w:cs="Arial"/>
        </w:rPr>
        <w:t xml:space="preserve">.  </w:t>
      </w:r>
      <w:r w:rsidR="00D83225" w:rsidRPr="004D7F7F">
        <w:rPr>
          <w:rFonts w:ascii="Arial" w:hAnsi="Arial" w:cs="Arial"/>
        </w:rPr>
        <w:t xml:space="preserve">Research Assistants </w:t>
      </w:r>
      <w:r w:rsidR="00C61454" w:rsidRPr="004D7F7F">
        <w:rPr>
          <w:rFonts w:ascii="Arial" w:hAnsi="Arial" w:cs="Arial"/>
        </w:rPr>
        <w:t>are expected to</w:t>
      </w:r>
      <w:r w:rsidR="00D83225" w:rsidRPr="004D7F7F">
        <w:rPr>
          <w:rFonts w:ascii="Arial" w:hAnsi="Arial" w:cs="Arial"/>
        </w:rPr>
        <w:t xml:space="preserve"> work during regular work hours of Monday-Friday, 8:00 a.m. – 5:00 p.m. and will not be issued keys to the building. </w:t>
      </w:r>
      <w:r w:rsidR="00A041C8" w:rsidRPr="004D7F7F">
        <w:rPr>
          <w:rFonts w:ascii="Arial" w:hAnsi="Arial" w:cs="Arial"/>
        </w:rPr>
        <w:t>Keys wil</w:t>
      </w:r>
      <w:r w:rsidR="00564369">
        <w:rPr>
          <w:rFonts w:ascii="Arial" w:hAnsi="Arial" w:cs="Arial"/>
        </w:rPr>
        <w:t>l need to be returned to the Operations Coordinator</w:t>
      </w:r>
      <w:r w:rsidR="00A041C8" w:rsidRPr="004D7F7F">
        <w:rPr>
          <w:rFonts w:ascii="Arial" w:hAnsi="Arial" w:cs="Arial"/>
        </w:rPr>
        <w:t xml:space="preserve"> on</w:t>
      </w:r>
      <w:r w:rsidR="00DB68E6">
        <w:rPr>
          <w:rFonts w:ascii="Arial" w:hAnsi="Arial" w:cs="Arial"/>
        </w:rPr>
        <w:t xml:space="preserve"> the</w:t>
      </w:r>
      <w:r w:rsidR="00A041C8" w:rsidRPr="004D7F7F">
        <w:rPr>
          <w:rFonts w:ascii="Arial" w:hAnsi="Arial" w:cs="Arial"/>
        </w:rPr>
        <w:t xml:space="preserve"> last day of employment.</w:t>
      </w:r>
    </w:p>
    <w:p w:rsidR="00C676AE" w:rsidRDefault="00C676AE">
      <w:pPr>
        <w:rPr>
          <w:rFonts w:ascii="Arial" w:hAnsi="Arial" w:cs="Arial"/>
          <w:b/>
          <w:u w:val="single"/>
        </w:rPr>
      </w:pPr>
    </w:p>
    <w:p w:rsidR="000E605F" w:rsidRPr="00CB6667" w:rsidRDefault="000E605F">
      <w:pPr>
        <w:rPr>
          <w:rFonts w:ascii="Arial" w:hAnsi="Arial" w:cs="Arial"/>
          <w:b/>
          <w:u w:val="single"/>
        </w:rPr>
      </w:pPr>
      <w:r w:rsidRPr="00CB6667">
        <w:rPr>
          <w:rFonts w:ascii="Arial" w:hAnsi="Arial" w:cs="Arial"/>
          <w:b/>
          <w:u w:val="single"/>
        </w:rPr>
        <w:t>Equal Employment Opportunity/Affirmative Action</w:t>
      </w:r>
    </w:p>
    <w:p w:rsidR="000E605F" w:rsidRPr="00CB6667" w:rsidRDefault="000E605F">
      <w:pPr>
        <w:rPr>
          <w:rFonts w:ascii="Arial" w:hAnsi="Arial" w:cs="Arial"/>
        </w:rPr>
      </w:pPr>
      <w:r w:rsidRPr="00CB6667">
        <w:rPr>
          <w:rFonts w:ascii="Arial" w:hAnsi="Arial" w:cs="Arial"/>
        </w:rPr>
        <w:t xml:space="preserve">All appointments of student positions shall be </w:t>
      </w:r>
      <w:r w:rsidR="00C10EE3" w:rsidRPr="00CB6667">
        <w:rPr>
          <w:rFonts w:ascii="Arial" w:hAnsi="Arial" w:cs="Arial"/>
        </w:rPr>
        <w:t>based on</w:t>
      </w:r>
      <w:r w:rsidRPr="00CB6667">
        <w:rPr>
          <w:rFonts w:ascii="Arial" w:hAnsi="Arial" w:cs="Arial"/>
        </w:rPr>
        <w:t xml:space="preserve"> qualifications, suitability, and student status without regard to race, color, religion, sex, age, disability, national origin, or Vietnam veteran status, and in keeping with the laws and regulations of the State of Texas and the Board of Regents.</w:t>
      </w:r>
    </w:p>
    <w:p w:rsidR="00DB68E6" w:rsidRDefault="00DB68E6">
      <w:pPr>
        <w:rPr>
          <w:rFonts w:ascii="Arial" w:hAnsi="Arial" w:cs="Arial"/>
          <w:b/>
          <w:u w:val="single"/>
        </w:rPr>
      </w:pPr>
    </w:p>
    <w:p w:rsidR="000E605F" w:rsidRPr="00AA4C8B" w:rsidRDefault="000E605F">
      <w:pPr>
        <w:rPr>
          <w:rFonts w:ascii="Arial" w:hAnsi="Arial" w:cs="Arial"/>
          <w:b/>
          <w:u w:val="single"/>
        </w:rPr>
      </w:pPr>
      <w:r w:rsidRPr="00CB6667">
        <w:rPr>
          <w:rFonts w:ascii="Arial" w:hAnsi="Arial" w:cs="Arial"/>
          <w:b/>
          <w:u w:val="single"/>
        </w:rPr>
        <w:t>Benefits</w:t>
      </w:r>
      <w:r w:rsidR="00A041C8" w:rsidRPr="00CB6667">
        <w:rPr>
          <w:rFonts w:ascii="Arial" w:hAnsi="Arial" w:cs="Arial"/>
          <w:b/>
          <w:u w:val="single"/>
        </w:rPr>
        <w:t xml:space="preserve"> </w:t>
      </w:r>
    </w:p>
    <w:p w:rsidR="00A041C8" w:rsidRPr="00CB6667" w:rsidRDefault="00A041C8">
      <w:pPr>
        <w:rPr>
          <w:rFonts w:ascii="Arial" w:hAnsi="Arial" w:cs="Arial"/>
        </w:rPr>
      </w:pPr>
      <w:r w:rsidRPr="00CB6667">
        <w:rPr>
          <w:rFonts w:ascii="Arial" w:hAnsi="Arial" w:cs="Arial"/>
        </w:rPr>
        <w:t>Texas Tech makes an employer contribution toward the employee’</w:t>
      </w:r>
      <w:r w:rsidR="002F58D3" w:rsidRPr="00CB6667">
        <w:rPr>
          <w:rFonts w:ascii="Arial" w:hAnsi="Arial" w:cs="Arial"/>
        </w:rPr>
        <w:t>s health insurance. Insurance-eligible graduate student employees will receive an employer contribution of 50 percent of the premium cost for the employee health coverage. The employer contribution toward dependent health coverage is 25 percent of the additional premium cost.</w:t>
      </w:r>
    </w:p>
    <w:p w:rsidR="002F58D3" w:rsidRDefault="002F58D3">
      <w:pPr>
        <w:rPr>
          <w:rFonts w:ascii="Arial" w:hAnsi="Arial" w:cs="Arial"/>
        </w:rPr>
      </w:pPr>
      <w:r w:rsidRPr="00CB6667">
        <w:rPr>
          <w:rFonts w:ascii="Arial" w:hAnsi="Arial" w:cs="Arial"/>
        </w:rPr>
        <w:t xml:space="preserve">Effective September 1, 1995, </w:t>
      </w:r>
      <w:r w:rsidRPr="00DB68E6">
        <w:rPr>
          <w:rFonts w:ascii="Arial" w:hAnsi="Arial" w:cs="Arial"/>
          <w:i/>
        </w:rPr>
        <w:t>HealthSelect</w:t>
      </w:r>
      <w:r w:rsidRPr="00CB6667">
        <w:rPr>
          <w:rFonts w:ascii="Arial" w:hAnsi="Arial" w:cs="Arial"/>
        </w:rPr>
        <w:t xml:space="preserve"> coverage for eligible graduate students is NOT automatic. Eligible graduate students must complete insurance enrollment forms in the Personnel Benefits Office to obtain insurance coverage.</w:t>
      </w:r>
    </w:p>
    <w:p w:rsidR="00AA4C8B" w:rsidRDefault="002F58D3" w:rsidP="00AA4C8B">
      <w:pPr>
        <w:rPr>
          <w:rFonts w:ascii="Arial" w:hAnsi="Arial" w:cs="Arial"/>
        </w:rPr>
      </w:pPr>
      <w:r w:rsidRPr="00CB6667">
        <w:rPr>
          <w:rFonts w:ascii="Arial" w:hAnsi="Arial" w:cs="Arial"/>
        </w:rPr>
        <w:t xml:space="preserve">Enrollment in optional insurance </w:t>
      </w:r>
      <w:r w:rsidR="00AA4C8B" w:rsidRPr="00CB6667">
        <w:rPr>
          <w:rFonts w:ascii="Arial" w:hAnsi="Arial" w:cs="Arial"/>
        </w:rPr>
        <w:t>coverage’s</w:t>
      </w:r>
      <w:r w:rsidRPr="00CB6667">
        <w:rPr>
          <w:rFonts w:ascii="Arial" w:hAnsi="Arial" w:cs="Arial"/>
        </w:rPr>
        <w:t xml:space="preserve"> must be completed during the first 31 days of employment. Enrollment in the health insurance must be completed during the first 90 days of employment.</w:t>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r w:rsidR="00AA4C8B">
        <w:rPr>
          <w:rFonts w:ascii="Arial" w:hAnsi="Arial" w:cs="Arial"/>
        </w:rPr>
        <w:tab/>
      </w:r>
    </w:p>
    <w:p w:rsidR="002F58D3" w:rsidRPr="00CB6667" w:rsidRDefault="00EA510C" w:rsidP="00AA4C8B">
      <w:pPr>
        <w:jc w:val="right"/>
        <w:rPr>
          <w:rFonts w:ascii="Arial" w:hAnsi="Arial" w:cs="Arial"/>
        </w:rPr>
      </w:pPr>
      <w:hyperlink r:id="rId11" w:history="1">
        <w:r w:rsidR="00AA4C8B" w:rsidRPr="00AA4C8B">
          <w:rPr>
            <w:rStyle w:val="Hyperlink"/>
            <w:rFonts w:ascii="Arial" w:hAnsi="Arial" w:cs="Arial"/>
          </w:rPr>
          <w:t>O.P. 64.11</w:t>
        </w:r>
      </w:hyperlink>
    </w:p>
    <w:sectPr w:rsidR="002F58D3" w:rsidRPr="00CB6667" w:rsidSect="00F23BB6">
      <w:headerReference w:type="default" r:id="rId12"/>
      <w:footerReference w:type="default" r:id="rId13"/>
      <w:pgSz w:w="12240" w:h="15840" w:code="1"/>
      <w:pgMar w:top="172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0C" w:rsidRDefault="00EA510C" w:rsidP="00CB6667">
      <w:pPr>
        <w:spacing w:after="0" w:line="240" w:lineRule="auto"/>
      </w:pPr>
      <w:r>
        <w:separator/>
      </w:r>
    </w:p>
  </w:endnote>
  <w:endnote w:type="continuationSeparator" w:id="0">
    <w:p w:rsidR="00EA510C" w:rsidRDefault="00EA510C" w:rsidP="00CB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13142"/>
      <w:docPartObj>
        <w:docPartGallery w:val="Page Numbers (Bottom of Page)"/>
        <w:docPartUnique/>
      </w:docPartObj>
    </w:sdtPr>
    <w:sdtEndPr>
      <w:rPr>
        <w:noProof/>
      </w:rPr>
    </w:sdtEndPr>
    <w:sdtContent>
      <w:p w:rsidR="00F23BB6" w:rsidRDefault="00F23BB6">
        <w:pPr>
          <w:pStyle w:val="Footer"/>
          <w:jc w:val="right"/>
        </w:pPr>
        <w:r>
          <w:fldChar w:fldCharType="begin"/>
        </w:r>
        <w:r>
          <w:instrText xml:space="preserve"> PAGE   \* MERGEFORMAT </w:instrText>
        </w:r>
        <w:r>
          <w:fldChar w:fldCharType="separate"/>
        </w:r>
        <w:r w:rsidR="00156753">
          <w:rPr>
            <w:noProof/>
          </w:rPr>
          <w:t>8</w:t>
        </w:r>
        <w:r>
          <w:rPr>
            <w:noProof/>
          </w:rPr>
          <w:fldChar w:fldCharType="end"/>
        </w:r>
      </w:p>
    </w:sdtContent>
  </w:sdt>
  <w:p w:rsidR="00CB6667" w:rsidRDefault="00CB6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0C" w:rsidRDefault="00EA510C" w:rsidP="00CB6667">
      <w:pPr>
        <w:spacing w:after="0" w:line="240" w:lineRule="auto"/>
      </w:pPr>
      <w:r>
        <w:separator/>
      </w:r>
    </w:p>
  </w:footnote>
  <w:footnote w:type="continuationSeparator" w:id="0">
    <w:p w:rsidR="00EA510C" w:rsidRDefault="00EA510C" w:rsidP="00CB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67" w:rsidRPr="00AA4C8B" w:rsidRDefault="00DB68E6" w:rsidP="00CB6667">
    <w:pP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-380637</wp:posOffset>
          </wp:positionH>
          <wp:positionV relativeFrom="paragraph">
            <wp:posOffset>-260985</wp:posOffset>
          </wp:positionV>
          <wp:extent cx="2401570" cy="581025"/>
          <wp:effectExtent l="0" t="0" r="0" b="9525"/>
          <wp:wrapNone/>
          <wp:docPr id="1" name="Picture 1" descr="TTU_DblT_CoE_f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DblT_CoE_fl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5EB"/>
    <w:multiLevelType w:val="hybridMultilevel"/>
    <w:tmpl w:val="26E80B90"/>
    <w:lvl w:ilvl="0" w:tplc="0D8C3666">
      <w:start w:val="2"/>
      <w:numFmt w:val="lowerLetter"/>
      <w:lvlText w:val="%1."/>
      <w:lvlJc w:val="left"/>
      <w:pPr>
        <w:tabs>
          <w:tab w:val="num" w:pos="720"/>
        </w:tabs>
        <w:ind w:left="720" w:hanging="360"/>
      </w:pPr>
    </w:lvl>
    <w:lvl w:ilvl="1" w:tplc="5F604130">
      <w:start w:val="1"/>
      <w:numFmt w:val="lowerLetter"/>
      <w:lvlText w:val="%2."/>
      <w:lvlJc w:val="left"/>
      <w:pPr>
        <w:tabs>
          <w:tab w:val="num" w:pos="1440"/>
        </w:tabs>
        <w:ind w:left="1440" w:hanging="360"/>
      </w:pPr>
    </w:lvl>
    <w:lvl w:ilvl="2" w:tplc="20801D02">
      <w:start w:val="146"/>
      <w:numFmt w:val="bullet"/>
      <w:lvlText w:val="•"/>
      <w:lvlJc w:val="left"/>
      <w:pPr>
        <w:tabs>
          <w:tab w:val="num" w:pos="2160"/>
        </w:tabs>
        <w:ind w:left="2160" w:hanging="360"/>
      </w:pPr>
      <w:rPr>
        <w:rFonts w:ascii="Times New Roman" w:hAnsi="Times New Roman" w:hint="default"/>
      </w:rPr>
    </w:lvl>
    <w:lvl w:ilvl="3" w:tplc="39FA8D4A" w:tentative="1">
      <w:start w:val="1"/>
      <w:numFmt w:val="lowerLetter"/>
      <w:lvlText w:val="%4."/>
      <w:lvlJc w:val="left"/>
      <w:pPr>
        <w:tabs>
          <w:tab w:val="num" w:pos="2880"/>
        </w:tabs>
        <w:ind w:left="2880" w:hanging="360"/>
      </w:pPr>
    </w:lvl>
    <w:lvl w:ilvl="4" w:tplc="C3F634C6" w:tentative="1">
      <w:start w:val="1"/>
      <w:numFmt w:val="lowerLetter"/>
      <w:lvlText w:val="%5."/>
      <w:lvlJc w:val="left"/>
      <w:pPr>
        <w:tabs>
          <w:tab w:val="num" w:pos="3600"/>
        </w:tabs>
        <w:ind w:left="3600" w:hanging="360"/>
      </w:pPr>
    </w:lvl>
    <w:lvl w:ilvl="5" w:tplc="12662BF2" w:tentative="1">
      <w:start w:val="1"/>
      <w:numFmt w:val="lowerLetter"/>
      <w:lvlText w:val="%6."/>
      <w:lvlJc w:val="left"/>
      <w:pPr>
        <w:tabs>
          <w:tab w:val="num" w:pos="4320"/>
        </w:tabs>
        <w:ind w:left="4320" w:hanging="360"/>
      </w:pPr>
    </w:lvl>
    <w:lvl w:ilvl="6" w:tplc="33F21FB2" w:tentative="1">
      <w:start w:val="1"/>
      <w:numFmt w:val="lowerLetter"/>
      <w:lvlText w:val="%7."/>
      <w:lvlJc w:val="left"/>
      <w:pPr>
        <w:tabs>
          <w:tab w:val="num" w:pos="5040"/>
        </w:tabs>
        <w:ind w:left="5040" w:hanging="360"/>
      </w:pPr>
    </w:lvl>
    <w:lvl w:ilvl="7" w:tplc="3C260A44" w:tentative="1">
      <w:start w:val="1"/>
      <w:numFmt w:val="lowerLetter"/>
      <w:lvlText w:val="%8."/>
      <w:lvlJc w:val="left"/>
      <w:pPr>
        <w:tabs>
          <w:tab w:val="num" w:pos="5760"/>
        </w:tabs>
        <w:ind w:left="5760" w:hanging="360"/>
      </w:pPr>
    </w:lvl>
    <w:lvl w:ilvl="8" w:tplc="213EB052" w:tentative="1">
      <w:start w:val="1"/>
      <w:numFmt w:val="lowerLetter"/>
      <w:lvlText w:val="%9."/>
      <w:lvlJc w:val="left"/>
      <w:pPr>
        <w:tabs>
          <w:tab w:val="num" w:pos="6480"/>
        </w:tabs>
        <w:ind w:left="6480" w:hanging="360"/>
      </w:pPr>
    </w:lvl>
  </w:abstractNum>
  <w:abstractNum w:abstractNumId="1" w15:restartNumberingAfterBreak="0">
    <w:nsid w:val="1A5A2FD2"/>
    <w:multiLevelType w:val="hybridMultilevel"/>
    <w:tmpl w:val="6B2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64A9E"/>
    <w:multiLevelType w:val="hybridMultilevel"/>
    <w:tmpl w:val="7CCC0E28"/>
    <w:lvl w:ilvl="0" w:tplc="04090001">
      <w:start w:val="1"/>
      <w:numFmt w:val="bullet"/>
      <w:lvlText w:val=""/>
      <w:lvlJc w:val="left"/>
      <w:pPr>
        <w:ind w:left="720" w:hanging="360"/>
      </w:pPr>
      <w:rPr>
        <w:rFonts w:ascii="Symbol" w:hAnsi="Symbol" w:hint="default"/>
      </w:rPr>
    </w:lvl>
    <w:lvl w:ilvl="1" w:tplc="85B0135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7010"/>
    <w:multiLevelType w:val="hybridMultilevel"/>
    <w:tmpl w:val="AF2E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9786C"/>
    <w:multiLevelType w:val="hybridMultilevel"/>
    <w:tmpl w:val="A98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F5A0C"/>
    <w:multiLevelType w:val="hybridMultilevel"/>
    <w:tmpl w:val="FD96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21F0A"/>
    <w:multiLevelType w:val="hybridMultilevel"/>
    <w:tmpl w:val="F0FEE7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B64F07"/>
    <w:multiLevelType w:val="hybridMultilevel"/>
    <w:tmpl w:val="8A2E9F2E"/>
    <w:lvl w:ilvl="0" w:tplc="5A1ECB74">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04957"/>
    <w:multiLevelType w:val="hybridMultilevel"/>
    <w:tmpl w:val="9DF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F61C2"/>
    <w:multiLevelType w:val="hybridMultilevel"/>
    <w:tmpl w:val="1E7A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44BED"/>
    <w:multiLevelType w:val="hybridMultilevel"/>
    <w:tmpl w:val="1A2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4FA0"/>
    <w:multiLevelType w:val="hybridMultilevel"/>
    <w:tmpl w:val="0218AA70"/>
    <w:lvl w:ilvl="0" w:tplc="04090001">
      <w:start w:val="1"/>
      <w:numFmt w:val="bullet"/>
      <w:lvlText w:val=""/>
      <w:lvlJc w:val="left"/>
      <w:pPr>
        <w:tabs>
          <w:tab w:val="num" w:pos="720"/>
        </w:tabs>
        <w:ind w:left="720" w:hanging="360"/>
      </w:pPr>
      <w:rPr>
        <w:rFonts w:ascii="Symbol" w:hAnsi="Symbol" w:hint="default"/>
      </w:rPr>
    </w:lvl>
    <w:lvl w:ilvl="1" w:tplc="5F604130">
      <w:start w:val="1"/>
      <w:numFmt w:val="lowerLetter"/>
      <w:lvlText w:val="%2."/>
      <w:lvlJc w:val="left"/>
      <w:pPr>
        <w:tabs>
          <w:tab w:val="num" w:pos="1440"/>
        </w:tabs>
        <w:ind w:left="1440" w:hanging="360"/>
      </w:pPr>
    </w:lvl>
    <w:lvl w:ilvl="2" w:tplc="20801D02">
      <w:start w:val="146"/>
      <w:numFmt w:val="bullet"/>
      <w:lvlText w:val="•"/>
      <w:lvlJc w:val="left"/>
      <w:pPr>
        <w:tabs>
          <w:tab w:val="num" w:pos="2160"/>
        </w:tabs>
        <w:ind w:left="2160" w:hanging="360"/>
      </w:pPr>
      <w:rPr>
        <w:rFonts w:ascii="Times New Roman" w:hAnsi="Times New Roman" w:hint="default"/>
      </w:rPr>
    </w:lvl>
    <w:lvl w:ilvl="3" w:tplc="39FA8D4A" w:tentative="1">
      <w:start w:val="1"/>
      <w:numFmt w:val="lowerLetter"/>
      <w:lvlText w:val="%4."/>
      <w:lvlJc w:val="left"/>
      <w:pPr>
        <w:tabs>
          <w:tab w:val="num" w:pos="2880"/>
        </w:tabs>
        <w:ind w:left="2880" w:hanging="360"/>
      </w:pPr>
    </w:lvl>
    <w:lvl w:ilvl="4" w:tplc="C3F634C6" w:tentative="1">
      <w:start w:val="1"/>
      <w:numFmt w:val="lowerLetter"/>
      <w:lvlText w:val="%5."/>
      <w:lvlJc w:val="left"/>
      <w:pPr>
        <w:tabs>
          <w:tab w:val="num" w:pos="3600"/>
        </w:tabs>
        <w:ind w:left="3600" w:hanging="360"/>
      </w:pPr>
    </w:lvl>
    <w:lvl w:ilvl="5" w:tplc="12662BF2" w:tentative="1">
      <w:start w:val="1"/>
      <w:numFmt w:val="lowerLetter"/>
      <w:lvlText w:val="%6."/>
      <w:lvlJc w:val="left"/>
      <w:pPr>
        <w:tabs>
          <w:tab w:val="num" w:pos="4320"/>
        </w:tabs>
        <w:ind w:left="4320" w:hanging="360"/>
      </w:pPr>
    </w:lvl>
    <w:lvl w:ilvl="6" w:tplc="33F21FB2" w:tentative="1">
      <w:start w:val="1"/>
      <w:numFmt w:val="lowerLetter"/>
      <w:lvlText w:val="%7."/>
      <w:lvlJc w:val="left"/>
      <w:pPr>
        <w:tabs>
          <w:tab w:val="num" w:pos="5040"/>
        </w:tabs>
        <w:ind w:left="5040" w:hanging="360"/>
      </w:pPr>
    </w:lvl>
    <w:lvl w:ilvl="7" w:tplc="3C260A44" w:tentative="1">
      <w:start w:val="1"/>
      <w:numFmt w:val="lowerLetter"/>
      <w:lvlText w:val="%8."/>
      <w:lvlJc w:val="left"/>
      <w:pPr>
        <w:tabs>
          <w:tab w:val="num" w:pos="5760"/>
        </w:tabs>
        <w:ind w:left="5760" w:hanging="360"/>
      </w:pPr>
    </w:lvl>
    <w:lvl w:ilvl="8" w:tplc="213EB052" w:tentative="1">
      <w:start w:val="1"/>
      <w:numFmt w:val="lowerLetter"/>
      <w:lvlText w:val="%9."/>
      <w:lvlJc w:val="left"/>
      <w:pPr>
        <w:tabs>
          <w:tab w:val="num" w:pos="6480"/>
        </w:tabs>
        <w:ind w:left="6480" w:hanging="360"/>
      </w:pPr>
    </w:lvl>
  </w:abstractNum>
  <w:abstractNum w:abstractNumId="12" w15:restartNumberingAfterBreak="0">
    <w:nsid w:val="669B17FD"/>
    <w:multiLevelType w:val="hybridMultilevel"/>
    <w:tmpl w:val="E19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13439"/>
    <w:multiLevelType w:val="hybridMultilevel"/>
    <w:tmpl w:val="3D50B74E"/>
    <w:lvl w:ilvl="0" w:tplc="AD3205E2">
      <w:start w:val="4"/>
      <w:numFmt w:val="lowerLetter"/>
      <w:lvlText w:val="%1."/>
      <w:lvlJc w:val="left"/>
      <w:pPr>
        <w:tabs>
          <w:tab w:val="num" w:pos="720"/>
        </w:tabs>
        <w:ind w:left="720" w:hanging="360"/>
      </w:pPr>
    </w:lvl>
    <w:lvl w:ilvl="1" w:tplc="F27645B6" w:tentative="1">
      <w:start w:val="1"/>
      <w:numFmt w:val="lowerLetter"/>
      <w:lvlText w:val="%2."/>
      <w:lvlJc w:val="left"/>
      <w:pPr>
        <w:tabs>
          <w:tab w:val="num" w:pos="1440"/>
        </w:tabs>
        <w:ind w:left="1440" w:hanging="360"/>
      </w:pPr>
    </w:lvl>
    <w:lvl w:ilvl="2" w:tplc="D4600296" w:tentative="1">
      <w:start w:val="1"/>
      <w:numFmt w:val="lowerLetter"/>
      <w:lvlText w:val="%3."/>
      <w:lvlJc w:val="left"/>
      <w:pPr>
        <w:tabs>
          <w:tab w:val="num" w:pos="2160"/>
        </w:tabs>
        <w:ind w:left="2160" w:hanging="360"/>
      </w:pPr>
    </w:lvl>
    <w:lvl w:ilvl="3" w:tplc="7AD6D94E" w:tentative="1">
      <w:start w:val="1"/>
      <w:numFmt w:val="lowerLetter"/>
      <w:lvlText w:val="%4."/>
      <w:lvlJc w:val="left"/>
      <w:pPr>
        <w:tabs>
          <w:tab w:val="num" w:pos="2880"/>
        </w:tabs>
        <w:ind w:left="2880" w:hanging="360"/>
      </w:pPr>
    </w:lvl>
    <w:lvl w:ilvl="4" w:tplc="48AA18BC" w:tentative="1">
      <w:start w:val="1"/>
      <w:numFmt w:val="lowerLetter"/>
      <w:lvlText w:val="%5."/>
      <w:lvlJc w:val="left"/>
      <w:pPr>
        <w:tabs>
          <w:tab w:val="num" w:pos="3600"/>
        </w:tabs>
        <w:ind w:left="3600" w:hanging="360"/>
      </w:pPr>
    </w:lvl>
    <w:lvl w:ilvl="5" w:tplc="642C5E8C" w:tentative="1">
      <w:start w:val="1"/>
      <w:numFmt w:val="lowerLetter"/>
      <w:lvlText w:val="%6."/>
      <w:lvlJc w:val="left"/>
      <w:pPr>
        <w:tabs>
          <w:tab w:val="num" w:pos="4320"/>
        </w:tabs>
        <w:ind w:left="4320" w:hanging="360"/>
      </w:pPr>
    </w:lvl>
    <w:lvl w:ilvl="6" w:tplc="94A28D7E" w:tentative="1">
      <w:start w:val="1"/>
      <w:numFmt w:val="lowerLetter"/>
      <w:lvlText w:val="%7."/>
      <w:lvlJc w:val="left"/>
      <w:pPr>
        <w:tabs>
          <w:tab w:val="num" w:pos="5040"/>
        </w:tabs>
        <w:ind w:left="5040" w:hanging="360"/>
      </w:pPr>
    </w:lvl>
    <w:lvl w:ilvl="7" w:tplc="8B1AD24E" w:tentative="1">
      <w:start w:val="1"/>
      <w:numFmt w:val="lowerLetter"/>
      <w:lvlText w:val="%8."/>
      <w:lvlJc w:val="left"/>
      <w:pPr>
        <w:tabs>
          <w:tab w:val="num" w:pos="5760"/>
        </w:tabs>
        <w:ind w:left="5760" w:hanging="360"/>
      </w:pPr>
    </w:lvl>
    <w:lvl w:ilvl="8" w:tplc="87ECE8F4" w:tentative="1">
      <w:start w:val="1"/>
      <w:numFmt w:val="lowerLetter"/>
      <w:lvlText w:val="%9."/>
      <w:lvlJc w:val="left"/>
      <w:pPr>
        <w:tabs>
          <w:tab w:val="num" w:pos="6480"/>
        </w:tabs>
        <w:ind w:left="6480" w:hanging="360"/>
      </w:pPr>
    </w:lvl>
  </w:abstractNum>
  <w:abstractNum w:abstractNumId="14" w15:restartNumberingAfterBreak="0">
    <w:nsid w:val="7617213F"/>
    <w:multiLevelType w:val="hybridMultilevel"/>
    <w:tmpl w:val="6FA6BE92"/>
    <w:lvl w:ilvl="0" w:tplc="6FA0C128">
      <w:start w:val="4"/>
      <w:numFmt w:val="decimal"/>
      <w:lvlText w:val="%1."/>
      <w:lvlJc w:val="left"/>
      <w:pPr>
        <w:tabs>
          <w:tab w:val="num" w:pos="720"/>
        </w:tabs>
        <w:ind w:left="720" w:hanging="360"/>
      </w:pPr>
    </w:lvl>
    <w:lvl w:ilvl="1" w:tplc="BDE210A8" w:tentative="1">
      <w:start w:val="1"/>
      <w:numFmt w:val="decimal"/>
      <w:lvlText w:val="%2."/>
      <w:lvlJc w:val="left"/>
      <w:pPr>
        <w:tabs>
          <w:tab w:val="num" w:pos="1440"/>
        </w:tabs>
        <w:ind w:left="1440" w:hanging="360"/>
      </w:pPr>
    </w:lvl>
    <w:lvl w:ilvl="2" w:tplc="4D8EA1C2" w:tentative="1">
      <w:start w:val="1"/>
      <w:numFmt w:val="decimal"/>
      <w:lvlText w:val="%3."/>
      <w:lvlJc w:val="left"/>
      <w:pPr>
        <w:tabs>
          <w:tab w:val="num" w:pos="2160"/>
        </w:tabs>
        <w:ind w:left="2160" w:hanging="360"/>
      </w:pPr>
    </w:lvl>
    <w:lvl w:ilvl="3" w:tplc="184208FC" w:tentative="1">
      <w:start w:val="1"/>
      <w:numFmt w:val="decimal"/>
      <w:lvlText w:val="%4."/>
      <w:lvlJc w:val="left"/>
      <w:pPr>
        <w:tabs>
          <w:tab w:val="num" w:pos="2880"/>
        </w:tabs>
        <w:ind w:left="2880" w:hanging="360"/>
      </w:pPr>
    </w:lvl>
    <w:lvl w:ilvl="4" w:tplc="14FEA072" w:tentative="1">
      <w:start w:val="1"/>
      <w:numFmt w:val="decimal"/>
      <w:lvlText w:val="%5."/>
      <w:lvlJc w:val="left"/>
      <w:pPr>
        <w:tabs>
          <w:tab w:val="num" w:pos="3600"/>
        </w:tabs>
        <w:ind w:left="3600" w:hanging="360"/>
      </w:pPr>
    </w:lvl>
    <w:lvl w:ilvl="5" w:tplc="C1D246DE" w:tentative="1">
      <w:start w:val="1"/>
      <w:numFmt w:val="decimal"/>
      <w:lvlText w:val="%6."/>
      <w:lvlJc w:val="left"/>
      <w:pPr>
        <w:tabs>
          <w:tab w:val="num" w:pos="4320"/>
        </w:tabs>
        <w:ind w:left="4320" w:hanging="360"/>
      </w:pPr>
    </w:lvl>
    <w:lvl w:ilvl="6" w:tplc="236E9428" w:tentative="1">
      <w:start w:val="1"/>
      <w:numFmt w:val="decimal"/>
      <w:lvlText w:val="%7."/>
      <w:lvlJc w:val="left"/>
      <w:pPr>
        <w:tabs>
          <w:tab w:val="num" w:pos="5040"/>
        </w:tabs>
        <w:ind w:left="5040" w:hanging="360"/>
      </w:pPr>
    </w:lvl>
    <w:lvl w:ilvl="7" w:tplc="674C4A62" w:tentative="1">
      <w:start w:val="1"/>
      <w:numFmt w:val="decimal"/>
      <w:lvlText w:val="%8."/>
      <w:lvlJc w:val="left"/>
      <w:pPr>
        <w:tabs>
          <w:tab w:val="num" w:pos="5760"/>
        </w:tabs>
        <w:ind w:left="5760" w:hanging="360"/>
      </w:pPr>
    </w:lvl>
    <w:lvl w:ilvl="8" w:tplc="06C06E62"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3"/>
  </w:num>
  <w:num w:numId="5">
    <w:abstractNumId w:val="10"/>
  </w:num>
  <w:num w:numId="6">
    <w:abstractNumId w:val="1"/>
  </w:num>
  <w:num w:numId="7">
    <w:abstractNumId w:val="9"/>
  </w:num>
  <w:num w:numId="8">
    <w:abstractNumId w:val="12"/>
  </w:num>
  <w:num w:numId="9">
    <w:abstractNumId w:val="2"/>
  </w:num>
  <w:num w:numId="10">
    <w:abstractNumId w:val="8"/>
  </w:num>
  <w:num w:numId="11">
    <w:abstractNumId w:val="6"/>
  </w:num>
  <w:num w:numId="12">
    <w:abstractNumId w:val="14"/>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B9"/>
    <w:rsid w:val="00044382"/>
    <w:rsid w:val="000939A0"/>
    <w:rsid w:val="000C2C6F"/>
    <w:rsid w:val="000C7A66"/>
    <w:rsid w:val="000E605F"/>
    <w:rsid w:val="000F7873"/>
    <w:rsid w:val="00156753"/>
    <w:rsid w:val="00171D9B"/>
    <w:rsid w:val="001C77EF"/>
    <w:rsid w:val="00201538"/>
    <w:rsid w:val="002B43DA"/>
    <w:rsid w:val="002C1613"/>
    <w:rsid w:val="002C7EEE"/>
    <w:rsid w:val="002D524F"/>
    <w:rsid w:val="002F58D3"/>
    <w:rsid w:val="0031071A"/>
    <w:rsid w:val="00311514"/>
    <w:rsid w:val="003275B9"/>
    <w:rsid w:val="00332818"/>
    <w:rsid w:val="003B0DFB"/>
    <w:rsid w:val="00460EF4"/>
    <w:rsid w:val="00464FD1"/>
    <w:rsid w:val="00470258"/>
    <w:rsid w:val="00471D0F"/>
    <w:rsid w:val="0048294B"/>
    <w:rsid w:val="004D7F7F"/>
    <w:rsid w:val="005074E0"/>
    <w:rsid w:val="00525019"/>
    <w:rsid w:val="00564369"/>
    <w:rsid w:val="00575D51"/>
    <w:rsid w:val="005E717D"/>
    <w:rsid w:val="0060242D"/>
    <w:rsid w:val="00634546"/>
    <w:rsid w:val="006560FF"/>
    <w:rsid w:val="006665D5"/>
    <w:rsid w:val="00667452"/>
    <w:rsid w:val="00671E4A"/>
    <w:rsid w:val="00690B4E"/>
    <w:rsid w:val="006C0FA6"/>
    <w:rsid w:val="006C39FB"/>
    <w:rsid w:val="006E6028"/>
    <w:rsid w:val="006F4EFD"/>
    <w:rsid w:val="007551C8"/>
    <w:rsid w:val="00773648"/>
    <w:rsid w:val="007A26A7"/>
    <w:rsid w:val="008233C2"/>
    <w:rsid w:val="008533F5"/>
    <w:rsid w:val="008A2256"/>
    <w:rsid w:val="008D1433"/>
    <w:rsid w:val="008E0926"/>
    <w:rsid w:val="00911548"/>
    <w:rsid w:val="00926A75"/>
    <w:rsid w:val="009B21BD"/>
    <w:rsid w:val="00A041C8"/>
    <w:rsid w:val="00AA4C8B"/>
    <w:rsid w:val="00AC4357"/>
    <w:rsid w:val="00B9737C"/>
    <w:rsid w:val="00BE5947"/>
    <w:rsid w:val="00C10EE3"/>
    <w:rsid w:val="00C40DEC"/>
    <w:rsid w:val="00C61454"/>
    <w:rsid w:val="00C676AE"/>
    <w:rsid w:val="00CB6667"/>
    <w:rsid w:val="00CC38B9"/>
    <w:rsid w:val="00CE327F"/>
    <w:rsid w:val="00D259E8"/>
    <w:rsid w:val="00D4574B"/>
    <w:rsid w:val="00D56F51"/>
    <w:rsid w:val="00D83225"/>
    <w:rsid w:val="00DB68E6"/>
    <w:rsid w:val="00DE2890"/>
    <w:rsid w:val="00DE3788"/>
    <w:rsid w:val="00E03940"/>
    <w:rsid w:val="00E71654"/>
    <w:rsid w:val="00EA510C"/>
    <w:rsid w:val="00EB6534"/>
    <w:rsid w:val="00F23BB6"/>
    <w:rsid w:val="00F7284D"/>
    <w:rsid w:val="00FC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54ECA"/>
  <w15:docId w15:val="{F69C9141-196E-46BC-9D5F-97986922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B9"/>
    <w:pPr>
      <w:ind w:left="720"/>
      <w:contextualSpacing/>
    </w:pPr>
  </w:style>
  <w:style w:type="character" w:styleId="Emphasis">
    <w:name w:val="Emphasis"/>
    <w:basedOn w:val="DefaultParagraphFont"/>
    <w:uiPriority w:val="20"/>
    <w:qFormat/>
    <w:rsid w:val="00DE2890"/>
    <w:rPr>
      <w:i/>
      <w:iCs/>
    </w:rPr>
  </w:style>
  <w:style w:type="paragraph" w:customStyle="1" w:styleId="Default">
    <w:name w:val="Default"/>
    <w:rsid w:val="00BE59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1E4A"/>
    <w:rPr>
      <w:color w:val="0000FF" w:themeColor="hyperlink"/>
      <w:u w:val="single"/>
    </w:rPr>
  </w:style>
  <w:style w:type="paragraph" w:styleId="Header">
    <w:name w:val="header"/>
    <w:basedOn w:val="Normal"/>
    <w:link w:val="HeaderChar"/>
    <w:uiPriority w:val="99"/>
    <w:unhideWhenUsed/>
    <w:rsid w:val="00CB6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67"/>
  </w:style>
  <w:style w:type="paragraph" w:styleId="Footer">
    <w:name w:val="footer"/>
    <w:basedOn w:val="Normal"/>
    <w:link w:val="FooterChar"/>
    <w:uiPriority w:val="99"/>
    <w:unhideWhenUsed/>
    <w:rsid w:val="00CB6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67"/>
  </w:style>
  <w:style w:type="paragraph" w:styleId="BalloonText">
    <w:name w:val="Balloon Text"/>
    <w:basedOn w:val="Normal"/>
    <w:link w:val="BalloonTextChar"/>
    <w:uiPriority w:val="99"/>
    <w:semiHidden/>
    <w:unhideWhenUsed/>
    <w:rsid w:val="00CB6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9179">
      <w:bodyDiv w:val="1"/>
      <w:marLeft w:val="0"/>
      <w:marRight w:val="0"/>
      <w:marTop w:val="0"/>
      <w:marBottom w:val="0"/>
      <w:divBdr>
        <w:top w:val="none" w:sz="0" w:space="0" w:color="auto"/>
        <w:left w:val="none" w:sz="0" w:space="0" w:color="auto"/>
        <w:bottom w:val="none" w:sz="0" w:space="0" w:color="auto"/>
        <w:right w:val="none" w:sz="0" w:space="0" w:color="auto"/>
      </w:divBdr>
      <w:divsChild>
        <w:div w:id="217328096">
          <w:marLeft w:val="907"/>
          <w:marRight w:val="0"/>
          <w:marTop w:val="0"/>
          <w:marBottom w:val="0"/>
          <w:divBdr>
            <w:top w:val="none" w:sz="0" w:space="0" w:color="auto"/>
            <w:left w:val="none" w:sz="0" w:space="0" w:color="auto"/>
            <w:bottom w:val="none" w:sz="0" w:space="0" w:color="auto"/>
            <w:right w:val="none" w:sz="0" w:space="0" w:color="auto"/>
          </w:divBdr>
        </w:div>
      </w:divsChild>
    </w:div>
    <w:div w:id="93281223">
      <w:bodyDiv w:val="1"/>
      <w:marLeft w:val="0"/>
      <w:marRight w:val="0"/>
      <w:marTop w:val="0"/>
      <w:marBottom w:val="0"/>
      <w:divBdr>
        <w:top w:val="none" w:sz="0" w:space="0" w:color="auto"/>
        <w:left w:val="none" w:sz="0" w:space="0" w:color="auto"/>
        <w:bottom w:val="none" w:sz="0" w:space="0" w:color="auto"/>
        <w:right w:val="none" w:sz="0" w:space="0" w:color="auto"/>
      </w:divBdr>
      <w:divsChild>
        <w:div w:id="1599827377">
          <w:marLeft w:val="1253"/>
          <w:marRight w:val="0"/>
          <w:marTop w:val="0"/>
          <w:marBottom w:val="0"/>
          <w:divBdr>
            <w:top w:val="none" w:sz="0" w:space="0" w:color="auto"/>
            <w:left w:val="none" w:sz="0" w:space="0" w:color="auto"/>
            <w:bottom w:val="none" w:sz="0" w:space="0" w:color="auto"/>
            <w:right w:val="none" w:sz="0" w:space="0" w:color="auto"/>
          </w:divBdr>
        </w:div>
        <w:div w:id="920600392">
          <w:marLeft w:val="1440"/>
          <w:marRight w:val="0"/>
          <w:marTop w:val="0"/>
          <w:marBottom w:val="0"/>
          <w:divBdr>
            <w:top w:val="none" w:sz="0" w:space="0" w:color="auto"/>
            <w:left w:val="none" w:sz="0" w:space="0" w:color="auto"/>
            <w:bottom w:val="none" w:sz="0" w:space="0" w:color="auto"/>
            <w:right w:val="none" w:sz="0" w:space="0" w:color="auto"/>
          </w:divBdr>
        </w:div>
        <w:div w:id="1857646791">
          <w:marLeft w:val="1440"/>
          <w:marRight w:val="0"/>
          <w:marTop w:val="0"/>
          <w:marBottom w:val="0"/>
          <w:divBdr>
            <w:top w:val="none" w:sz="0" w:space="0" w:color="auto"/>
            <w:left w:val="none" w:sz="0" w:space="0" w:color="auto"/>
            <w:bottom w:val="none" w:sz="0" w:space="0" w:color="auto"/>
            <w:right w:val="none" w:sz="0" w:space="0" w:color="auto"/>
          </w:divBdr>
        </w:div>
        <w:div w:id="263802142">
          <w:marLeft w:val="1440"/>
          <w:marRight w:val="0"/>
          <w:marTop w:val="0"/>
          <w:marBottom w:val="0"/>
          <w:divBdr>
            <w:top w:val="none" w:sz="0" w:space="0" w:color="auto"/>
            <w:left w:val="none" w:sz="0" w:space="0" w:color="auto"/>
            <w:bottom w:val="none" w:sz="0" w:space="0" w:color="auto"/>
            <w:right w:val="none" w:sz="0" w:space="0" w:color="auto"/>
          </w:divBdr>
        </w:div>
        <w:div w:id="154107266">
          <w:marLeft w:val="1440"/>
          <w:marRight w:val="0"/>
          <w:marTop w:val="0"/>
          <w:marBottom w:val="0"/>
          <w:divBdr>
            <w:top w:val="none" w:sz="0" w:space="0" w:color="auto"/>
            <w:left w:val="none" w:sz="0" w:space="0" w:color="auto"/>
            <w:bottom w:val="none" w:sz="0" w:space="0" w:color="auto"/>
            <w:right w:val="none" w:sz="0" w:space="0" w:color="auto"/>
          </w:divBdr>
        </w:div>
      </w:divsChild>
    </w:div>
    <w:div w:id="1354528511">
      <w:bodyDiv w:val="1"/>
      <w:marLeft w:val="0"/>
      <w:marRight w:val="0"/>
      <w:marTop w:val="0"/>
      <w:marBottom w:val="0"/>
      <w:divBdr>
        <w:top w:val="none" w:sz="0" w:space="0" w:color="auto"/>
        <w:left w:val="none" w:sz="0" w:space="0" w:color="auto"/>
        <w:bottom w:val="none" w:sz="0" w:space="0" w:color="auto"/>
        <w:right w:val="none" w:sz="0" w:space="0" w:color="auto"/>
      </w:divBdr>
      <w:divsChild>
        <w:div w:id="241061435">
          <w:marLeft w:val="1253"/>
          <w:marRight w:val="0"/>
          <w:marTop w:val="0"/>
          <w:marBottom w:val="0"/>
          <w:divBdr>
            <w:top w:val="none" w:sz="0" w:space="0" w:color="auto"/>
            <w:left w:val="none" w:sz="0" w:space="0" w:color="auto"/>
            <w:bottom w:val="none" w:sz="0" w:space="0" w:color="auto"/>
            <w:right w:val="none" w:sz="0" w:space="0" w:color="auto"/>
          </w:divBdr>
        </w:div>
      </w:divsChild>
    </w:div>
    <w:div w:id="18614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opmanual/OP70.2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opmanual/OP70.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pts.ttu.edu/opmanual/OP60.15.pdf" TargetMode="External"/><Relationship Id="rId4" Type="http://schemas.openxmlformats.org/officeDocument/2006/relationships/settings" Target="settings.xml"/><Relationship Id="rId9" Type="http://schemas.openxmlformats.org/officeDocument/2006/relationships/hyperlink" Target="http://www.depts.ttu.edu/opmanual/OP70.3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6076-67AD-4B89-8472-9B4D4276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Smith</dc:creator>
  <cp:lastModifiedBy>Lesley, Mellinee</cp:lastModifiedBy>
  <cp:revision>2</cp:revision>
  <cp:lastPrinted>2018-07-31T20:48:00Z</cp:lastPrinted>
  <dcterms:created xsi:type="dcterms:W3CDTF">2019-01-30T20:08:00Z</dcterms:created>
  <dcterms:modified xsi:type="dcterms:W3CDTF">2019-01-30T20:08:00Z</dcterms:modified>
</cp:coreProperties>
</file>