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1027" w14:textId="77777777" w:rsidR="001A03D1" w:rsidRDefault="001A03D1" w:rsidP="00164E5F">
      <w:pPr>
        <w:pStyle w:val="Heading1"/>
      </w:pPr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04E07267" wp14:editId="5EB0030B">
            <wp:simplePos x="914400" y="1069145"/>
            <wp:positionH relativeFrom="column">
              <wp:align>left</wp:align>
            </wp:positionH>
            <wp:positionV relativeFrom="paragraph">
              <wp:align>top</wp:align>
            </wp:positionV>
            <wp:extent cx="812800" cy="95250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81CB8" w14:textId="461FA5CE" w:rsidR="00EE7F97" w:rsidRPr="003C2A51" w:rsidRDefault="001A03D1" w:rsidP="00164E5F">
      <w:pPr>
        <w:pStyle w:val="Heading1"/>
        <w:rPr>
          <w:sz w:val="40"/>
          <w:szCs w:val="40"/>
        </w:rPr>
      </w:pPr>
      <w:r w:rsidRPr="003C2A51">
        <w:rPr>
          <w:sz w:val="40"/>
          <w:szCs w:val="40"/>
        </w:rPr>
        <w:t xml:space="preserve">Thesis and Dissertation </w:t>
      </w:r>
      <w:r w:rsidR="003C2A51" w:rsidRPr="003C2A51">
        <w:rPr>
          <w:sz w:val="40"/>
          <w:szCs w:val="40"/>
        </w:rPr>
        <w:t>Information Sheet</w:t>
      </w:r>
      <w:r w:rsidRPr="003C2A51">
        <w:rPr>
          <w:sz w:val="40"/>
          <w:szCs w:val="40"/>
        </w:rPr>
        <w:br w:type="textWrapping" w:clear="all"/>
      </w:r>
    </w:p>
    <w:p w14:paraId="690B38CE" w14:textId="29E2AE30" w:rsidR="00164E5F" w:rsidRDefault="00164E5F" w:rsidP="00164E5F">
      <w:pPr>
        <w:pStyle w:val="Heading1"/>
      </w:pPr>
      <w:r>
        <w:t>Dean’s Representative Information</w:t>
      </w:r>
    </w:p>
    <w:p w14:paraId="6E8F335D" w14:textId="77777777" w:rsidR="00164E5F" w:rsidRDefault="00164E5F" w:rsidP="00164E5F"/>
    <w:p w14:paraId="06B272A5" w14:textId="77777777" w:rsidR="00164E5F" w:rsidRDefault="00164E5F" w:rsidP="00164E5F">
      <w:pPr>
        <w:pStyle w:val="Heading2"/>
      </w:pPr>
      <w:r>
        <w:t>Rationale and Goals</w:t>
      </w:r>
    </w:p>
    <w:p w14:paraId="06E4E129" w14:textId="0BAA4A06" w:rsidR="00164E5F" w:rsidRDefault="00164E5F" w:rsidP="00164E5F"/>
    <w:p w14:paraId="159EA4BC" w14:textId="77777777" w:rsidR="00164E5F" w:rsidRDefault="00164E5F" w:rsidP="00164E5F">
      <w:r>
        <w:t xml:space="preserve">The Graduate Dean’s Representative (DR) represents the dean of the Graduate School at all doctoral dissertation defenses. The DR ensures the integrity of the defense procedures </w:t>
      </w:r>
      <w:r w:rsidRPr="00226702">
        <w:t>by serving as a third</w:t>
      </w:r>
      <w:r>
        <w:t>-</w:t>
      </w:r>
      <w:r w:rsidRPr="00226702">
        <w:t xml:space="preserve">party observer from outside </w:t>
      </w:r>
      <w:r>
        <w:t>the candidate’s program/</w:t>
      </w:r>
      <w:r w:rsidRPr="00226702">
        <w:t xml:space="preserve">department. </w:t>
      </w:r>
      <w:r w:rsidRPr="005A4452">
        <w:rPr>
          <w:i/>
          <w:iCs/>
        </w:rPr>
        <w:t>A valid defense includes a public presentation of the research and a</w:t>
      </w:r>
      <w:r>
        <w:rPr>
          <w:i/>
          <w:iCs/>
        </w:rPr>
        <w:t>n</w:t>
      </w:r>
      <w:r w:rsidRPr="005A4452">
        <w:rPr>
          <w:i/>
          <w:iCs/>
        </w:rPr>
        <w:t xml:space="preserve"> oral final examination; all members of the advisory committee and the DR must be present, in real time (remote access allowed, consistent with the rules of the program/department), for the entire duration of both component</w:t>
      </w:r>
      <w:r>
        <w:rPr>
          <w:i/>
          <w:iCs/>
        </w:rPr>
        <w:t>s</w:t>
      </w:r>
      <w:r>
        <w:t>.</w:t>
      </w:r>
    </w:p>
    <w:p w14:paraId="7EE2C30C" w14:textId="50CE8CE1" w:rsidR="00164E5F" w:rsidRDefault="00164E5F" w:rsidP="00164E5F">
      <w:r>
        <w:t xml:space="preserve">The DR must be a current member of the </w:t>
      </w:r>
      <w:r w:rsidRPr="003C53E0">
        <w:t xml:space="preserve">graduate faculty </w:t>
      </w:r>
      <w:r>
        <w:t xml:space="preserve">of Texas Tech University and must be from a program/department other than that of the candidate’s degree program/department. </w:t>
      </w:r>
      <w:r w:rsidRPr="003C53E0">
        <w:t xml:space="preserve">The DR is not required to have any knowledge of the student’s field of research or </w:t>
      </w:r>
      <w:r>
        <w:t xml:space="preserve">to </w:t>
      </w:r>
      <w:r w:rsidRPr="003C53E0">
        <w:t xml:space="preserve">have an active role in the student’s dissertation. Background experience related to the student’s discipline and research is not a requirement to serve as </w:t>
      </w:r>
      <w:r>
        <w:t xml:space="preserve">DR. </w:t>
      </w:r>
    </w:p>
    <w:p w14:paraId="5C619806" w14:textId="77777777" w:rsidR="00164E5F" w:rsidRDefault="00164E5F" w:rsidP="00164E5F">
      <w:r w:rsidRPr="005A4452">
        <w:t xml:space="preserve">The </w:t>
      </w:r>
      <w:r>
        <w:t>DR</w:t>
      </w:r>
      <w:r w:rsidRPr="005A4452">
        <w:t xml:space="preserve"> is appointed </w:t>
      </w:r>
      <w:r>
        <w:t xml:space="preserve">to the candidate’s </w:t>
      </w:r>
      <w:r w:rsidRPr="005A4452">
        <w:t>committee when the Defense Notification Form is filed</w:t>
      </w:r>
      <w:r>
        <w:t xml:space="preserve">. The candidate, </w:t>
      </w:r>
      <w:r w:rsidRPr="002F7223">
        <w:t xml:space="preserve">in consultation </w:t>
      </w:r>
      <w:r>
        <w:t>major advisor (chair of the supervisory committee), is responsible for identifying a DR. The major advisor is responsible for submitting the</w:t>
      </w:r>
      <w:r w:rsidRPr="005A4452">
        <w:t xml:space="preserve"> Defense Notification Form</w:t>
      </w:r>
      <w:r>
        <w:t xml:space="preserve">.  </w:t>
      </w:r>
    </w:p>
    <w:p w14:paraId="271207E8" w14:textId="77777777" w:rsidR="00164E5F" w:rsidRDefault="00164E5F" w:rsidP="00164E5F">
      <w:r>
        <w:t>The DR must r</w:t>
      </w:r>
      <w:r w:rsidRPr="005A4452">
        <w:t>eceive all scheduling requests and materials pertaining to the</w:t>
      </w:r>
      <w:r>
        <w:t xml:space="preserve"> </w:t>
      </w:r>
      <w:r w:rsidRPr="005A4452">
        <w:t>dissertation defense in the same timely manner as the rest of the committee members</w:t>
      </w:r>
      <w:r>
        <w:t xml:space="preserve"> (e.g., a minimum of three weeks prior to the scheduled defense)</w:t>
      </w:r>
      <w:r w:rsidRPr="005A4452">
        <w:t>.</w:t>
      </w:r>
    </w:p>
    <w:p w14:paraId="79C60E11" w14:textId="26C9E5C2" w:rsidR="00164E5F" w:rsidRDefault="00164E5F" w:rsidP="00164E5F">
      <w:r>
        <w:t xml:space="preserve">The DR may contact the Thesis/Dissertation Unit in the Graduate School any time regarding their roles and responsibilities or to answer any questions.  </w:t>
      </w:r>
    </w:p>
    <w:p w14:paraId="049D0A48" w14:textId="77777777" w:rsidR="00741191" w:rsidRPr="00741191" w:rsidRDefault="00741191" w:rsidP="00741191">
      <w:pPr>
        <w:ind w:firstLine="360"/>
        <w:rPr>
          <w:b/>
          <w:bCs/>
        </w:rPr>
      </w:pPr>
      <w:r w:rsidRPr="00741191">
        <w:rPr>
          <w:b/>
          <w:bCs/>
        </w:rPr>
        <w:t xml:space="preserve">Time Commitment </w:t>
      </w:r>
    </w:p>
    <w:p w14:paraId="17A022DB" w14:textId="77777777" w:rsidR="00741191" w:rsidRDefault="00741191" w:rsidP="00741191">
      <w:pPr>
        <w:pStyle w:val="ListParagraph"/>
        <w:numPr>
          <w:ilvl w:val="0"/>
          <w:numId w:val="2"/>
        </w:numPr>
        <w:spacing w:after="0" w:line="240" w:lineRule="auto"/>
      </w:pPr>
      <w:r w:rsidRPr="00D3140B">
        <w:t xml:space="preserve">There is no set minimum for service to the scholarly community as a DR. Your own schedule and interests will determine whether you accept each invitation.  </w:t>
      </w:r>
    </w:p>
    <w:p w14:paraId="7565F5F6" w14:textId="77777777" w:rsidR="00741191" w:rsidRDefault="00741191" w:rsidP="00741191">
      <w:pPr>
        <w:pStyle w:val="ListParagraph"/>
        <w:numPr>
          <w:ilvl w:val="0"/>
          <w:numId w:val="2"/>
        </w:numPr>
        <w:spacing w:after="0" w:line="240" w:lineRule="auto"/>
      </w:pPr>
      <w:r>
        <w:t>Most defenses last 2 hours, inclusive of the presentation; however, actual times may vary.</w:t>
      </w:r>
    </w:p>
    <w:p w14:paraId="44261915" w14:textId="6399C65E" w:rsidR="00741191" w:rsidRDefault="00741191" w:rsidP="00741191">
      <w:pPr>
        <w:ind w:firstLine="720"/>
      </w:pPr>
      <w:r>
        <w:t>Be sure to note your activity on annual reports</w:t>
      </w:r>
    </w:p>
    <w:p w14:paraId="3E16AA9F" w14:textId="56AC378E" w:rsidR="00EE7F97" w:rsidRDefault="00EE7F97" w:rsidP="00164E5F">
      <w:r>
        <w:br/>
      </w:r>
    </w:p>
    <w:p w14:paraId="069C66C3" w14:textId="7C0CA05B" w:rsidR="00164E5F" w:rsidRPr="00EE7F97" w:rsidRDefault="00EE7F97" w:rsidP="00EE7F97">
      <w:pPr>
        <w:rPr>
          <w:u w:val="single"/>
        </w:rPr>
      </w:pPr>
      <w:r>
        <w:br w:type="column"/>
      </w:r>
      <w:r w:rsidR="00164E5F" w:rsidRPr="00EE7F97">
        <w:rPr>
          <w:u w:val="single"/>
        </w:rPr>
        <w:lastRenderedPageBreak/>
        <w:t>Responsibilities of the Dean’s Representative</w:t>
      </w:r>
    </w:p>
    <w:p w14:paraId="391F07E1" w14:textId="77777777" w:rsidR="00164E5F" w:rsidRPr="00746E48" w:rsidRDefault="00164E5F" w:rsidP="00164E5F"/>
    <w:p w14:paraId="767E0FB0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>Familiarize yourself with the dissertation in advance of the defense</w:t>
      </w:r>
    </w:p>
    <w:p w14:paraId="5D2CC1AE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Attend the scheduled public presentation and oral defense, in real time, through to the conclusion, including the vote of the advisor committee to pass or not pass the candidate. </w:t>
      </w:r>
    </w:p>
    <w:p w14:paraId="190F1C09" w14:textId="77777777" w:rsidR="00164E5F" w:rsidRPr="00D3140B" w:rsidRDefault="00164E5F" w:rsidP="00164E5F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D3140B">
        <w:rPr>
          <w:i/>
          <w:iCs/>
        </w:rPr>
        <w:t>Contact the Graduate School immediately if not all members of the advisory committee are present in real time as this constitutes an invalid defense</w:t>
      </w:r>
      <w:r>
        <w:rPr>
          <w:i/>
          <w:iCs/>
        </w:rPr>
        <w:t>,</w:t>
      </w:r>
      <w:r w:rsidRPr="00D3140B">
        <w:rPr>
          <w:i/>
          <w:iCs/>
        </w:rPr>
        <w:t xml:space="preserve"> </w:t>
      </w:r>
      <w:r w:rsidRPr="00D3140B">
        <w:rPr>
          <w:b/>
          <w:bCs/>
          <w:i/>
          <w:iCs/>
        </w:rPr>
        <w:t>and the defense may not proceed</w:t>
      </w:r>
      <w:r w:rsidRPr="00D3140B">
        <w:rPr>
          <w:i/>
          <w:iCs/>
        </w:rPr>
        <w:t>.</w:t>
      </w:r>
    </w:p>
    <w:p w14:paraId="73B3475A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Serve as an impartial observer to assure the defense is conducted in a fair and thorough manner as noted in the Doctoral Oral Defense Guidelines. </w:t>
      </w:r>
    </w:p>
    <w:p w14:paraId="3FC54FD7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>The DR may participate in the defense by asking questions</w:t>
      </w:r>
    </w:p>
    <w:p w14:paraId="0F94C699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 w:rsidRPr="00D3140B">
        <w:t xml:space="preserve">Complete and submit the Report of the Graduate Dean </w:t>
      </w:r>
      <w:r>
        <w:t xml:space="preserve">Representative </w:t>
      </w:r>
      <w:r w:rsidRPr="00D3140B">
        <w:t xml:space="preserve">to the Graduate School </w:t>
      </w:r>
      <w:r>
        <w:t xml:space="preserve">as soon after the defense as possible. (The DR has no vote on </w:t>
      </w:r>
      <w:proofErr w:type="gramStart"/>
      <w:r>
        <w:t>whether or not</w:t>
      </w:r>
      <w:proofErr w:type="gramEnd"/>
      <w:r>
        <w:t xml:space="preserve"> the candidate passes the defense.)</w:t>
      </w:r>
    </w:p>
    <w:p w14:paraId="599386BD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Sign the Thesis-Dissertation Approval Form, typically, but not necessarily, at the conclusion of the defense. </w:t>
      </w:r>
    </w:p>
    <w:p w14:paraId="0BA4F27B" w14:textId="77777777" w:rsidR="00164E5F" w:rsidRDefault="00164E5F" w:rsidP="00164E5F">
      <w:pPr>
        <w:pStyle w:val="ListParagraph"/>
        <w:numPr>
          <w:ilvl w:val="0"/>
          <w:numId w:val="1"/>
        </w:numPr>
        <w:spacing w:after="0" w:line="240" w:lineRule="auto"/>
      </w:pPr>
      <w:r>
        <w:t>Be available to meet with Graduate School personnel to discuss any problems should such arise.</w:t>
      </w:r>
    </w:p>
    <w:p w14:paraId="51F708C9" w14:textId="77777777" w:rsidR="00164E5F" w:rsidRDefault="00164E5F" w:rsidP="00164E5F"/>
    <w:p w14:paraId="3843DF91" w14:textId="41EF9007" w:rsidR="00164E5F" w:rsidRDefault="00164E5F" w:rsidP="00741191">
      <w:pPr>
        <w:pStyle w:val="ListParagraph"/>
        <w:spacing w:after="0" w:line="240" w:lineRule="auto"/>
      </w:pPr>
      <w:r>
        <w:t xml:space="preserve"> </w:t>
      </w:r>
    </w:p>
    <w:p w14:paraId="26FCD7EE" w14:textId="2BC572B6" w:rsidR="004F58FD" w:rsidRDefault="004F58FD"/>
    <w:sectPr w:rsidR="004F58F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26E9" w14:textId="77777777" w:rsidR="008B6614" w:rsidRDefault="008B6614" w:rsidP="008B6614">
      <w:pPr>
        <w:spacing w:after="0" w:line="240" w:lineRule="auto"/>
      </w:pPr>
      <w:r>
        <w:separator/>
      </w:r>
    </w:p>
  </w:endnote>
  <w:endnote w:type="continuationSeparator" w:id="0">
    <w:p w14:paraId="11C7CB30" w14:textId="77777777" w:rsidR="008B6614" w:rsidRDefault="008B6614" w:rsidP="008B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214D" w14:textId="232113D1" w:rsidR="008B6614" w:rsidRDefault="008B6614" w:rsidP="008B6614">
    <w:pPr>
      <w:pStyle w:val="Footer"/>
      <w:jc w:val="right"/>
    </w:pPr>
    <w:r>
      <w:t>Revised Fall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FE96" w14:textId="77777777" w:rsidR="008B6614" w:rsidRDefault="008B6614" w:rsidP="008B6614">
      <w:pPr>
        <w:spacing w:after="0" w:line="240" w:lineRule="auto"/>
      </w:pPr>
      <w:r>
        <w:separator/>
      </w:r>
    </w:p>
  </w:footnote>
  <w:footnote w:type="continuationSeparator" w:id="0">
    <w:p w14:paraId="0E6DDBDA" w14:textId="77777777" w:rsidR="008B6614" w:rsidRDefault="008B6614" w:rsidP="008B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1CF"/>
    <w:multiLevelType w:val="hybridMultilevel"/>
    <w:tmpl w:val="256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838C8"/>
    <w:multiLevelType w:val="hybridMultilevel"/>
    <w:tmpl w:val="337A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97298">
    <w:abstractNumId w:val="0"/>
  </w:num>
  <w:num w:numId="2" w16cid:durableId="143598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5F"/>
    <w:rsid w:val="00164E5F"/>
    <w:rsid w:val="001A03D1"/>
    <w:rsid w:val="003C2A51"/>
    <w:rsid w:val="004F58FD"/>
    <w:rsid w:val="0050254B"/>
    <w:rsid w:val="00741191"/>
    <w:rsid w:val="008B6614"/>
    <w:rsid w:val="00E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59AC"/>
  <w15:chartTrackingRefBased/>
  <w15:docId w15:val="{7C495574-9962-1F46-A1BF-696EC30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5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E5F"/>
    <w:pPr>
      <w:keepNext/>
      <w:keepLines/>
      <w:spacing w:before="240" w:after="0"/>
      <w:outlineLvl w:val="0"/>
    </w:pPr>
    <w:rPr>
      <w:rFonts w:eastAsiaTheme="majorEastAsia" w:cstheme="majorBidi"/>
      <w:color w:val="CC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E5F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E5F"/>
    <w:rPr>
      <w:rFonts w:eastAsiaTheme="majorEastAsia" w:cstheme="majorBidi"/>
      <w:color w:val="CC0000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64E5F"/>
    <w:rPr>
      <w:rFonts w:eastAsiaTheme="majorEastAsia" w:cstheme="majorBidi"/>
      <w:color w:val="000000" w:themeColor="text1"/>
      <w:kern w:val="2"/>
      <w:szCs w:val="26"/>
      <w:u w:val="single"/>
      <w14:ligatures w14:val="standardContextual"/>
    </w:rPr>
  </w:style>
  <w:style w:type="paragraph" w:styleId="ListParagraph">
    <w:name w:val="List Paragraph"/>
    <w:basedOn w:val="Normal"/>
    <w:uiPriority w:val="34"/>
    <w:qFormat/>
    <w:rsid w:val="00164E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14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14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Belisle, Allison</dc:creator>
  <cp:keywords/>
  <dc:description/>
  <cp:lastModifiedBy>Belisle, Allison</cp:lastModifiedBy>
  <cp:revision>2</cp:revision>
  <dcterms:created xsi:type="dcterms:W3CDTF">2023-09-13T16:01:00Z</dcterms:created>
  <dcterms:modified xsi:type="dcterms:W3CDTF">2023-09-13T16:01:00Z</dcterms:modified>
</cp:coreProperties>
</file>