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DC52" w14:textId="144D0F32" w:rsidR="00515B94" w:rsidRPr="003F4747" w:rsidRDefault="0057206C" w:rsidP="00515B94">
      <w:pPr>
        <w:shd w:val="clear" w:color="auto" w:fill="FFFFFF"/>
        <w:textAlignment w:val="baseline"/>
        <w:rPr>
          <w:rFonts w:cstheme="minorHAnsi"/>
          <w:b/>
          <w:noProof/>
          <w:color w:val="000000" w:themeColor="text1"/>
          <w:sz w:val="44"/>
          <w:szCs w:val="28"/>
        </w:rPr>
      </w:pPr>
      <w:r>
        <w:rPr>
          <w:rFonts w:cstheme="minorHAnsi"/>
          <w:b/>
          <w:noProof/>
          <w:color w:val="000000" w:themeColor="text1"/>
          <w:sz w:val="44"/>
          <w:szCs w:val="28"/>
        </w:rPr>
        <w:t xml:space="preserve">Associate </w:t>
      </w:r>
      <w:r w:rsidR="005647F8" w:rsidRPr="003F4747">
        <w:rPr>
          <w:rFonts w:cstheme="minorHAnsi"/>
          <w:b/>
          <w:noProof/>
          <w:color w:val="000000" w:themeColor="text1"/>
          <w:sz w:val="44"/>
          <w:szCs w:val="28"/>
        </w:rPr>
        <w:t>Wealth Advisor</w:t>
      </w:r>
    </w:p>
    <w:p w14:paraId="31F31592" w14:textId="558F57FB" w:rsidR="0087429F" w:rsidRPr="003F4747" w:rsidRDefault="0087429F" w:rsidP="009375C0">
      <w:pPr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  <w:r w:rsidRPr="003F4747">
        <w:rPr>
          <w:rFonts w:cstheme="minorHAnsi"/>
          <w:b/>
          <w:noProof/>
          <w:color w:val="000000" w:themeColor="text1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F1F22" wp14:editId="0D94BCAC">
                <wp:simplePos x="0" y="0"/>
                <wp:positionH relativeFrom="column">
                  <wp:posOffset>0</wp:posOffset>
                </wp:positionH>
                <wp:positionV relativeFrom="paragraph">
                  <wp:posOffset>5384</wp:posOffset>
                </wp:positionV>
                <wp:extent cx="6400800" cy="0"/>
                <wp:effectExtent l="0" t="12700" r="1270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57A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F7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4pt;width:7in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" strokecolor="#857a74" strokeweight="1.5pt"/>
            </w:pict>
          </mc:Fallback>
        </mc:AlternateContent>
      </w:r>
    </w:p>
    <w:p w14:paraId="5E292A41" w14:textId="77777777" w:rsidR="00A33E08" w:rsidRDefault="00A33E08" w:rsidP="009375C0">
      <w:pPr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3BEC83A8" w14:textId="0696B1A1" w:rsidR="00051B58" w:rsidRPr="003F4747" w:rsidRDefault="00051B58" w:rsidP="009375C0">
      <w:pPr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  <w:r w:rsidRPr="003F4747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  <w:t>JOB OVERVIEW</w:t>
      </w:r>
    </w:p>
    <w:p w14:paraId="728CB114" w14:textId="77777777" w:rsidR="00051B58" w:rsidRPr="003F4747" w:rsidRDefault="00051B58" w:rsidP="009375C0">
      <w:pP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4C2A6A61" w14:textId="0B0F7592" w:rsidR="0057206C" w:rsidRPr="0057206C" w:rsidRDefault="0057206C" w:rsidP="0057206C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The 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Associate Wealth Advisor</w:t>
      </w: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role is an integral part of our team</w:t>
      </w:r>
      <w:r w:rsidR="009C190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,</w:t>
      </w: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serving</w:t>
      </w:r>
      <w:r w:rsidR="00550183"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as the connection between our clients and the entire team at </w:t>
      </w:r>
      <w:r w:rsidR="00BD111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Antioch Wealth Management</w:t>
      </w: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. This </w:t>
      </w:r>
      <w:r w:rsidR="00F01D1A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emerging</w:t>
      </w: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communicator, influencer and enthusiastic person will support the vision, positive </w:t>
      </w:r>
      <w:r w:rsidR="00FA5CC9"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culture,</w:t>
      </w: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and team </w:t>
      </w:r>
      <w:r w:rsidR="00F01D1A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environment </w:t>
      </w: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across our firm. </w:t>
      </w:r>
    </w:p>
    <w:p w14:paraId="123FDAE4" w14:textId="77777777" w:rsidR="0057206C" w:rsidRPr="0057206C" w:rsidRDefault="0057206C" w:rsidP="0057206C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36BD1387" w14:textId="57813AE3" w:rsidR="0057206C" w:rsidRDefault="00397E9C" w:rsidP="0057206C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The </w:t>
      </w:r>
      <w:r w:rsid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Associate Wealth Advisor</w:t>
      </w:r>
      <w:r w:rsidR="0057206C"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is</w:t>
      </w:r>
      <w:r w:rsidR="0057206C"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focused 100% on serving and managing our clients collaboratively and exceptionally.  They are responsible for supporting our Senior and Lead </w:t>
      </w:r>
      <w:r w:rsid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Wealth </w:t>
      </w:r>
      <w:r w:rsidR="0057206C"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Advisors who serve our Tier 1 and 2 clients.  </w:t>
      </w:r>
    </w:p>
    <w:p w14:paraId="214B1ACE" w14:textId="77777777" w:rsidR="00C47AC2" w:rsidRDefault="00C47AC2" w:rsidP="0057206C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243B97D5" w14:textId="6D6FC729" w:rsidR="00A56F81" w:rsidRDefault="00470D0C" w:rsidP="0057206C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470D0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The 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Associate Wealth </w:t>
      </w:r>
      <w:r w:rsidRPr="00470D0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Advisor is building experience with clients and serves as second chair in all levels of client relationships. The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y </w:t>
      </w:r>
      <w:r w:rsidR="00CA7EBA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are</w:t>
      </w:r>
      <w:r w:rsidR="00A56F8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responsible for </w:t>
      </w:r>
      <w:r w:rsidR="00C4353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client review </w:t>
      </w:r>
      <w:r w:rsidR="0030346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and client case preparation </w:t>
      </w:r>
      <w:r w:rsidR="00303468" w:rsidRPr="00470D0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from start to finish</w:t>
      </w:r>
      <w:r w:rsidR="0030346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.  </w:t>
      </w:r>
      <w:r w:rsidR="00303468" w:rsidRPr="00470D0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30346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They will also</w:t>
      </w:r>
      <w:r w:rsidR="00303468" w:rsidRPr="00470D0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manage </w:t>
      </w:r>
      <w:r w:rsidR="001433D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designated </w:t>
      </w:r>
      <w:r w:rsidR="00303468" w:rsidRPr="00470D0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client relationships under the supervision</w:t>
      </w:r>
      <w:r w:rsidR="0030346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and guidance</w:t>
      </w:r>
      <w:r w:rsidR="00303468" w:rsidRPr="00470D0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of</w:t>
      </w:r>
      <w:r w:rsidR="0030346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1433D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the</w:t>
      </w:r>
      <w:r w:rsidR="0030346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Senior Advisor</w:t>
      </w:r>
      <w:r w:rsidR="00303468" w:rsidRPr="00470D0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.</w:t>
      </w:r>
    </w:p>
    <w:p w14:paraId="1FA59630" w14:textId="77777777" w:rsidR="00AF6391" w:rsidRDefault="00AF6391" w:rsidP="0057206C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69BD28C3" w14:textId="424650D9" w:rsidR="00AF6391" w:rsidRDefault="00216516" w:rsidP="0057206C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Starting Salary Range: $60</w:t>
      </w:r>
      <w:r w:rsidR="00884BBA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,000 - $80,000</w:t>
      </w:r>
      <w:r w:rsidR="00334967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with future variable compensation potential. </w:t>
      </w:r>
    </w:p>
    <w:p w14:paraId="42B6F5D8" w14:textId="77777777" w:rsidR="0057206C" w:rsidRDefault="0057206C" w:rsidP="0057206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4D6C34D3" w14:textId="2D2B6FEE" w:rsidR="00CC3C1F" w:rsidRDefault="00387F1E" w:rsidP="0057206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  <w:r w:rsidRPr="003F4747">
        <w:rPr>
          <w:rFonts w:cstheme="minorHAnsi"/>
          <w:b/>
          <w:noProof/>
          <w:color w:val="000000" w:themeColor="text1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1D68C" wp14:editId="0840B7F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400800" cy="0"/>
                <wp:effectExtent l="0" t="12700" r="12700" b="12700"/>
                <wp:wrapNone/>
                <wp:docPr id="15314708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57A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87D9" id="AutoShape 2" o:spid="_x0000_s1026" type="#_x0000_t32" style="position:absolute;margin-left:0;margin-top:.95pt;width:7in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" strokecolor="#857a74" strokeweight="1.5pt"/>
            </w:pict>
          </mc:Fallback>
        </mc:AlternateContent>
      </w:r>
    </w:p>
    <w:p w14:paraId="76DA143F" w14:textId="77777777" w:rsidR="00A33E08" w:rsidRDefault="00A33E08" w:rsidP="00387F1E">
      <w:pPr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02892A59" w14:textId="6C46E55D" w:rsidR="00387F1E" w:rsidRPr="003F4747" w:rsidRDefault="00387F1E" w:rsidP="00387F1E">
      <w:pPr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  <w:t>FIRM</w:t>
      </w:r>
      <w:r w:rsidRPr="003F4747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OVERVIEW</w:t>
      </w:r>
    </w:p>
    <w:p w14:paraId="632A5266" w14:textId="77777777" w:rsidR="00387F1E" w:rsidRPr="003F4747" w:rsidRDefault="00387F1E" w:rsidP="00387F1E">
      <w:pP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01C9C3D3" w14:textId="35DBDCAB" w:rsidR="00DF68B4" w:rsidRDefault="00DF68B4" w:rsidP="00387F1E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Antioch Wealth Management</w:t>
      </w:r>
      <w:r w:rsidR="00D9035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(AWM)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is a Lubbock, Texas based </w:t>
      </w:r>
      <w:r w:rsidR="002F484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investment wealth management firm </w:t>
      </w:r>
      <w:r w:rsidR="001A725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started in </w:t>
      </w:r>
      <w:r w:rsidR="001D38F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2006 </w:t>
      </w:r>
      <w:r w:rsidR="00FD603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by Brock Barnes, </w:t>
      </w:r>
      <w:r w:rsidR="001A725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and currently </w:t>
      </w:r>
      <w:r w:rsidR="00B323E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owned by Brock Barnes and Byron Tapp</w:t>
      </w:r>
      <w:r w:rsidR="001A725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.</w:t>
      </w:r>
      <w:r w:rsidR="00DD4A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 </w:t>
      </w:r>
      <w:r w:rsidR="00D9035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AWM</w:t>
      </w:r>
      <w:r w:rsidR="00F82BA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C40A1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practices </w:t>
      </w:r>
      <w:r w:rsidR="00FD3D1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with</w:t>
      </w:r>
      <w:r w:rsidR="00C40A1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in a</w:t>
      </w:r>
      <w:r w:rsidR="00F82BA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team based advisory model</w:t>
      </w:r>
      <w:r w:rsidR="00A942A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.  We </w:t>
      </w:r>
      <w:r w:rsidR="00053F0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serv</w:t>
      </w:r>
      <w:r w:rsidR="002471D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e</w:t>
      </w:r>
      <w:r w:rsidR="00053F0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~200 clients </w:t>
      </w:r>
      <w:r w:rsidR="00FD3D1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being</w:t>
      </w:r>
      <w:r w:rsidR="008B333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predominantly</w:t>
      </w:r>
      <w:r w:rsidR="00053F0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“Family Steward” personalities</w:t>
      </w:r>
      <w:r w:rsidR="00053F0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AF7C7E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and </w:t>
      </w:r>
      <w:r w:rsidR="009459F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total</w:t>
      </w:r>
      <w:r w:rsidR="002066B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ing</w:t>
      </w:r>
      <w:r w:rsidR="002471D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A942A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~$</w:t>
      </w:r>
      <w:r w:rsidR="00C40A1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125M</w:t>
      </w:r>
      <w:r w:rsidR="0020692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AF7C7E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in</w:t>
      </w:r>
      <w:r w:rsidR="0020692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1D393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mainly advisory </w:t>
      </w:r>
      <w:r w:rsidR="0020692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assets</w:t>
      </w:r>
      <w:r w:rsidR="000B4F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.</w:t>
      </w:r>
      <w:r w:rsidR="0027330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 </w:t>
      </w:r>
      <w:r w:rsidR="009728F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F</w:t>
      </w:r>
      <w:r w:rsidR="003461B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ait</w:t>
      </w:r>
      <w:r w:rsidR="00DE2B9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h</w:t>
      </w:r>
      <w:r w:rsidR="0099681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, Family and Team</w:t>
      </w:r>
      <w:r w:rsidR="00DE2B9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AF7C7E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are</w:t>
      </w:r>
      <w:r w:rsidR="0099681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strong</w:t>
      </w:r>
      <w:r w:rsidR="00E305E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values among the</w:t>
      </w:r>
      <w:r w:rsidR="00DE2B9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AW</w:t>
      </w:r>
      <w:r w:rsidR="009C2C9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M</w:t>
      </w:r>
      <w:r w:rsidR="001655C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owners and employees</w:t>
      </w:r>
      <w:r w:rsidR="00AF225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,</w:t>
      </w:r>
      <w:r w:rsidR="00DE2B9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99681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and </w:t>
      </w:r>
      <w:r w:rsidR="009C2C9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highly </w:t>
      </w:r>
      <w:r w:rsidR="00CA55C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influence</w:t>
      </w:r>
      <w:r w:rsidR="00EB748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3D62C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office culture</w:t>
      </w:r>
      <w:r w:rsidR="00A110E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and</w:t>
      </w:r>
      <w:r w:rsidR="003D62C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client relationship</w:t>
      </w:r>
      <w:r w:rsidR="00E712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s. </w:t>
      </w:r>
    </w:p>
    <w:p w14:paraId="5737DFC3" w14:textId="77777777" w:rsidR="00C75492" w:rsidRDefault="00C75492" w:rsidP="00387F1E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0B95A947" w14:textId="424C1359" w:rsidR="00CC3C1F" w:rsidRPr="00D364EF" w:rsidRDefault="004C2533" w:rsidP="0057206C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Antioch was a </w:t>
      </w:r>
      <w:r w:rsidR="0096333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1</w:t>
      </w:r>
      <w:r w:rsidR="00963332" w:rsidRPr="0096333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vertAlign w:val="superscript"/>
        </w:rPr>
        <w:t>st</w:t>
      </w:r>
      <w:r w:rsidR="0096333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century </w:t>
      </w: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metropolis </w:t>
      </w:r>
      <w:r w:rsidR="00B3004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in the Roman Empire </w:t>
      </w: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ranking third in </w:t>
      </w:r>
      <w:r w:rsidR="00DC075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influence</w:t>
      </w: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B3004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only</w:t>
      </w: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behind Rome and Alexandria. </w:t>
      </w:r>
      <w:r w:rsidR="00E9430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It</w:t>
      </w: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was a</w:t>
      </w:r>
      <w:r w:rsidR="00B3004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2F35B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strategic</w:t>
      </w:r>
      <w:r w:rsidR="001D625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crossroads connecting Europe, </w:t>
      </w:r>
      <w:proofErr w:type="gramStart"/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Asia</w:t>
      </w:r>
      <w:proofErr w:type="gramEnd"/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and the Middle East. Antioch served as </w:t>
      </w:r>
      <w:r w:rsidR="001600A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the beginning,</w:t>
      </w: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home base</w:t>
      </w:r>
      <w:r w:rsidR="00D7520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and eventual return destination for </w:t>
      </w:r>
      <w:r w:rsidR="00DA737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journeys </w:t>
      </w:r>
      <w:r w:rsidR="002B5C7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of </w:t>
      </w:r>
      <w:r w:rsidR="00DA737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military</w:t>
      </w:r>
      <w:r w:rsidR="002B5C7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advancement</w:t>
      </w:r>
      <w:r w:rsidR="00DA737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, </w:t>
      </w:r>
      <w:r w:rsidR="003E247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critical commerce </w:t>
      </w:r>
      <w:r w:rsidR="00E533A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in the </w:t>
      </w:r>
      <w:r w:rsidR="00D546AA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ancient world</w:t>
      </w:r>
      <w:r w:rsidR="00DA737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7A6EC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and even </w:t>
      </w:r>
      <w:r w:rsidR="00872D1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the Christian message</w:t>
      </w:r>
      <w:r w:rsidR="00B939A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of </w:t>
      </w:r>
      <w:r w:rsidR="007A6EC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faith</w:t>
      </w:r>
      <w:r w:rsidR="00B939A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and belief</w:t>
      </w:r>
      <w:r w:rsidRPr="004C25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. </w:t>
      </w:r>
      <w:r w:rsidR="00A5632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Our</w:t>
      </w:r>
      <w:r w:rsidR="00295637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desire is </w:t>
      </w:r>
      <w:r w:rsidR="000F7DD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that </w:t>
      </w:r>
      <w:r w:rsidR="00C7549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Antioch</w:t>
      </w:r>
      <w:r w:rsidR="000F7DD1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D40CE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Wealth Management </w:t>
      </w:r>
      <w:r w:rsidR="00A5125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serve</w:t>
      </w:r>
      <w:r w:rsidR="00855608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s </w:t>
      </w:r>
      <w:r w:rsidR="00A5125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</w:t>
      </w:r>
      <w:r w:rsidR="002570A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n</w:t>
      </w:r>
      <w:r w:rsidR="00A5125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C7549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influential</w:t>
      </w:r>
      <w:r w:rsidR="00176C3E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A5125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role</w:t>
      </w:r>
      <w:r w:rsidR="00176C3E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4D753E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with</w:t>
      </w:r>
      <w:r w:rsidR="00434CD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A5125F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our client</w:t>
      </w:r>
      <w:r w:rsidR="0061441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</w:t>
      </w:r>
      <w:r w:rsidR="00E466A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’</w:t>
      </w:r>
      <w:r w:rsidR="00C7549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families</w:t>
      </w:r>
      <w:r w:rsidR="0061441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4D753E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on their </w:t>
      </w:r>
      <w:r w:rsidR="00434CD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financial</w:t>
      </w:r>
      <w:r w:rsidR="00C7549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434CD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journ</w:t>
      </w:r>
      <w:r w:rsidR="00C7549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e</w:t>
      </w:r>
      <w:r w:rsidR="006F213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ys.</w:t>
      </w:r>
      <w:r w:rsidR="00C75492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</w:p>
    <w:p w14:paraId="17A2AAA7" w14:textId="77777777" w:rsidR="00CC3C1F" w:rsidRPr="0057206C" w:rsidRDefault="00CC3C1F" w:rsidP="0057206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56842731" w14:textId="77777777" w:rsidR="006F7E14" w:rsidRDefault="0057206C" w:rsidP="00756D56">
      <w:pPr>
        <w:spacing w:line="259" w:lineRule="auto"/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  <w:r w:rsidRPr="00051B58">
        <w:rPr>
          <w:rFonts w:ascii="Century Gothic" w:hAnsi="Century Gothic" w:cstheme="majorHAnsi"/>
          <w:b/>
          <w:noProof/>
          <w:color w:val="2F5496" w:themeColor="accent1" w:themeShade="BF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EE543" wp14:editId="5C7E08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57A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77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0;width:7in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" strokecolor="#857a74" strokeweight="1.5pt"/>
            </w:pict>
          </mc:Fallback>
        </mc:AlternateContent>
      </w:r>
    </w:p>
    <w:p w14:paraId="0476CB0E" w14:textId="77777777" w:rsidR="00A33E08" w:rsidRDefault="00A33E08" w:rsidP="00A33E08">
      <w:pPr>
        <w:spacing w:line="259" w:lineRule="auto"/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6E8B4681" w14:textId="2747B1A5" w:rsidR="0057206C" w:rsidRPr="00756D56" w:rsidRDefault="000E6D92" w:rsidP="00756D56">
      <w:pPr>
        <w:spacing w:after="160" w:line="259" w:lineRule="auto"/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  <w:t>CORE</w:t>
      </w:r>
      <w:r w:rsidR="0057206C" w:rsidRPr="0057206C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RESPONSIBILITIES</w:t>
      </w:r>
    </w:p>
    <w:p w14:paraId="277EBD48" w14:textId="77777777" w:rsidR="00190AB0" w:rsidRPr="00190AB0" w:rsidRDefault="00190AB0" w:rsidP="00190AB0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 w:rsidRPr="00190AB0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Strategic Support of Clients</w:t>
      </w:r>
    </w:p>
    <w:p w14:paraId="4430485A" w14:textId="77777777" w:rsidR="00190AB0" w:rsidRPr="00190AB0" w:rsidRDefault="00190AB0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Ensures professionalism, promptness, and follow-up on client and advisor </w:t>
      </w:r>
      <w:proofErr w:type="gramStart"/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requests</w:t>
      </w:r>
      <w:proofErr w:type="gramEnd"/>
    </w:p>
    <w:p w14:paraId="0B546C55" w14:textId="77777777" w:rsidR="00190AB0" w:rsidRPr="00190AB0" w:rsidRDefault="00190AB0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Courteous attention to phone calls, in-person visits, and meetings</w:t>
      </w:r>
    </w:p>
    <w:p w14:paraId="40CC9EDE" w14:textId="77777777" w:rsidR="00190AB0" w:rsidRPr="00190AB0" w:rsidRDefault="00190AB0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Serves as second chair to best support financial, investments, and risk outcomes of </w:t>
      </w:r>
      <w:proofErr w:type="gramStart"/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clients</w:t>
      </w:r>
      <w:proofErr w:type="gramEnd"/>
    </w:p>
    <w:p w14:paraId="022C4CE2" w14:textId="292A9A41" w:rsidR="00190AB0" w:rsidRPr="00190AB0" w:rsidRDefault="00190AB0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Follows compliance requirements </w:t>
      </w:r>
      <w:r w:rsidR="00B55B4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for</w:t>
      </w: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 effective and robust investment advisory compliance </w:t>
      </w:r>
      <w:proofErr w:type="gramStart"/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program</w:t>
      </w:r>
      <w:proofErr w:type="gramEnd"/>
    </w:p>
    <w:p w14:paraId="025D4E19" w14:textId="3232EBDD" w:rsidR="00190AB0" w:rsidRPr="00190AB0" w:rsidRDefault="00190AB0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Solve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</w:t>
      </w: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client or operational problems by analyzing information and evaluating options, while being accountable to results</w:t>
      </w:r>
    </w:p>
    <w:p w14:paraId="5089C842" w14:textId="7205A725" w:rsidR="00190AB0" w:rsidRPr="00190AB0" w:rsidRDefault="00190AB0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Identifies concerns, problems or opportunities within client accounts or households and noti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fies</w:t>
      </w: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, updat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es</w:t>
      </w: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, or correct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</w:t>
      </w:r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the client information with little support from lead </w:t>
      </w:r>
      <w:proofErr w:type="gramStart"/>
      <w:r w:rsidRPr="00190AB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advisor</w:t>
      </w:r>
      <w:proofErr w:type="gramEnd"/>
    </w:p>
    <w:p w14:paraId="3DAA6C99" w14:textId="46F5CD4C" w:rsidR="004C297A" w:rsidRPr="004C297A" w:rsidRDefault="004E7271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bookmarkStart w:id="0" w:name="OLE_LINK1"/>
      <w:bookmarkStart w:id="1" w:name="OLE_LINK2"/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lastRenderedPageBreak/>
        <w:t>Serves</w:t>
      </w:r>
      <w:r w:rsidR="004C297A" w:rsidRPr="004C297A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as AWM Team Specialist for 529 Plans, Client annuities, Account Platforms</w:t>
      </w:r>
    </w:p>
    <w:bookmarkEnd w:id="0"/>
    <w:bookmarkEnd w:id="1"/>
    <w:p w14:paraId="5D275468" w14:textId="77777777" w:rsidR="003E0D25" w:rsidRPr="004C297A" w:rsidRDefault="003E0D25" w:rsidP="00616BE0">
      <w:pPr>
        <w:shd w:val="clear" w:color="auto" w:fill="FFFFFF"/>
        <w:ind w:hanging="36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27383D5F" w14:textId="77777777" w:rsidR="00BF1D76" w:rsidRPr="00BF1D76" w:rsidRDefault="00BF1D76" w:rsidP="00D57303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 w:rsidRPr="00BF1D76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Client Meeting and Case Preparation</w:t>
      </w:r>
    </w:p>
    <w:p w14:paraId="3397366F" w14:textId="77777777" w:rsidR="00BF1D76" w:rsidRPr="00BF1D76" w:rsidRDefault="00BF1D76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F1D7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Engage directly with clients to identify immediate concerns for upcoming meetings and </w:t>
      </w:r>
      <w:proofErr w:type="gramStart"/>
      <w:r w:rsidRPr="00BF1D7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reviews</w:t>
      </w:r>
      <w:proofErr w:type="gramEnd"/>
    </w:p>
    <w:p w14:paraId="4B1020C2" w14:textId="5DEA19DF" w:rsidR="00BF1D76" w:rsidRPr="00BF1D76" w:rsidRDefault="00BF1D76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F1D7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Update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</w:t>
      </w:r>
      <w:r w:rsidRPr="00BF1D7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CRM and financial planning software, in line with client updates and Lead/Senior advisor input</w:t>
      </w:r>
    </w:p>
    <w:p w14:paraId="44C5838D" w14:textId="6EBC9DED" w:rsidR="00BF1D76" w:rsidRDefault="00BF1D76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F1D7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Leads completion of pre-meeting preparation by creating agendas, organizing past notes/actions, running reports, and organizing into 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 </w:t>
      </w:r>
      <w:r w:rsidRPr="00BF1D7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convenient package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for client / meeting use</w:t>
      </w:r>
    </w:p>
    <w:p w14:paraId="448D3A45" w14:textId="38DD1637" w:rsidR="00001CAB" w:rsidRPr="00BF1D76" w:rsidRDefault="00001CAB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Leads completion of post-meeting</w:t>
      </w:r>
      <w:r w:rsidR="00945B37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notes, client follow-up, </w:t>
      </w:r>
      <w:proofErr w:type="gramStart"/>
      <w:r w:rsidR="00945B37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actions</w:t>
      </w:r>
      <w:proofErr w:type="gramEnd"/>
      <w:r w:rsidR="00945B37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and </w:t>
      </w:r>
      <w:r w:rsidR="00915A0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implementation</w:t>
      </w:r>
    </w:p>
    <w:p w14:paraId="6854803A" w14:textId="13BCF195" w:rsidR="00BF1D76" w:rsidRDefault="00BF1D76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F1D7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Identify and communicate items of concern, based on review of </w:t>
      </w:r>
      <w:proofErr w:type="gramStart"/>
      <w:r w:rsidRPr="00BF1D76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information</w:t>
      </w:r>
      <w:proofErr w:type="gramEnd"/>
    </w:p>
    <w:p w14:paraId="6C601C36" w14:textId="77777777" w:rsidR="00364CBD" w:rsidRPr="00BF1D76" w:rsidRDefault="00364CBD" w:rsidP="00616BE0">
      <w:pPr>
        <w:shd w:val="clear" w:color="auto" w:fill="FFFFFF"/>
        <w:ind w:hanging="36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3B7890C1" w14:textId="77777777" w:rsidR="00364CBD" w:rsidRPr="00364CBD" w:rsidRDefault="00364CBD" w:rsidP="00D57303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 w:rsidRPr="00364CBD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Leads Client Relationships</w:t>
      </w:r>
    </w:p>
    <w:p w14:paraId="1B560060" w14:textId="77777777" w:rsidR="00364CBD" w:rsidRPr="00364CBD" w:rsidRDefault="00364CBD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hanging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Engages directly and is responsible for client retention and relationship with assigned clients. </w:t>
      </w:r>
    </w:p>
    <w:p w14:paraId="4D59288F" w14:textId="72861D7C" w:rsidR="00364CBD" w:rsidRPr="00364CBD" w:rsidRDefault="00364CBD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Leads presentation and implementation of a suitable financial plan and/or investment strategy for </w:t>
      </w:r>
      <w:r w:rsidR="00E6524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designated</w:t>
      </w:r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gramStart"/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clients</w:t>
      </w:r>
      <w:proofErr w:type="gramEnd"/>
    </w:p>
    <w:p w14:paraId="7075CCF0" w14:textId="5D1D1042" w:rsidR="00364CBD" w:rsidRPr="00364CBD" w:rsidRDefault="00364CBD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Advises client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</w:t>
      </w:r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by understanding the needs, objectives, goals, concerns, and </w:t>
      </w:r>
      <w:r w:rsidR="00FA5CC9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applying those to </w:t>
      </w:r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planning </w:t>
      </w:r>
      <w:proofErr w:type="gramStart"/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tools</w:t>
      </w:r>
      <w:proofErr w:type="gramEnd"/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</w:p>
    <w:p w14:paraId="72440EF7" w14:textId="77777777" w:rsidR="00364CBD" w:rsidRPr="00364CBD" w:rsidRDefault="00364CBD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Provides periodic oversight, in line with firm procedures, to ensure the needs of the client are being </w:t>
      </w:r>
      <w:proofErr w:type="gramStart"/>
      <w:r w:rsidRPr="00364CBD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met</w:t>
      </w:r>
      <w:proofErr w:type="gramEnd"/>
    </w:p>
    <w:p w14:paraId="1F6E7603" w14:textId="77777777" w:rsidR="0057206C" w:rsidRPr="00364CBD" w:rsidRDefault="0057206C" w:rsidP="00616BE0">
      <w:pPr>
        <w:shd w:val="clear" w:color="auto" w:fill="FFFFFF"/>
        <w:ind w:hanging="36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0E15BF32" w14:textId="3C5FC429" w:rsidR="00DE7101" w:rsidRPr="0057206C" w:rsidRDefault="00DE7101" w:rsidP="00D57303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 xml:space="preserve">Investment </w:t>
      </w:r>
      <w:r w:rsidR="00EE6D48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Team</w:t>
      </w:r>
      <w:r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 xml:space="preserve"> </w:t>
      </w:r>
      <w:r w:rsidR="009022FC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S</w:t>
      </w:r>
      <w:r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 xml:space="preserve">upport and </w:t>
      </w:r>
      <w:r w:rsidR="009022FC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Engagement</w:t>
      </w:r>
    </w:p>
    <w:p w14:paraId="0EAEEB10" w14:textId="6BB9E7F7" w:rsidR="00DE7101" w:rsidRPr="00F85C63" w:rsidRDefault="00DE7101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Focused support </w:t>
      </w:r>
      <w:r w:rsidR="00FD003E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>of</w:t>
      </w:r>
      <w:r w:rsidR="00825942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</w:t>
      </w:r>
      <w:r w:rsidR="0028022B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>AWM Investment Committee/Senior Advisor</w:t>
      </w:r>
      <w:r w:rsidR="00FD003E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with </w:t>
      </w:r>
      <w:r w:rsidR="00C03D6F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investment research, holdings and portfolio </w:t>
      </w:r>
      <w:r w:rsidR="006B3EFC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monthly performance </w:t>
      </w:r>
      <w:r w:rsidR="00C03D6F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>updates</w:t>
      </w:r>
      <w:r w:rsidR="006E0513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, </w:t>
      </w:r>
      <w:r w:rsidR="00882BEA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annual portfolio </w:t>
      </w:r>
      <w:r w:rsidR="005803B4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>rebalancing,</w:t>
      </w:r>
      <w:r w:rsidR="00882BEA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</w:t>
      </w:r>
      <w:r w:rsidR="007A4B51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trading </w:t>
      </w:r>
      <w:r w:rsidR="005803B4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workflows </w:t>
      </w:r>
      <w:r w:rsidR="0059738A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>for portfolio allocation adjustments</w:t>
      </w:r>
      <w:r w:rsidR="0033044E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, </w:t>
      </w:r>
      <w:r w:rsidR="009A0EFC" w:rsidRPr="00EE6D48">
        <w:rPr>
          <w:rFonts w:eastAsia="Times New Roman" w:cstheme="minorHAnsi"/>
          <w:sz w:val="21"/>
          <w:szCs w:val="21"/>
          <w:bdr w:val="none" w:sz="0" w:space="0" w:color="auto" w:frame="1"/>
        </w:rPr>
        <w:t>communication with AWM wholesalers</w:t>
      </w:r>
    </w:p>
    <w:p w14:paraId="634A1394" w14:textId="77777777" w:rsidR="00F85C63" w:rsidRPr="00FE2A33" w:rsidRDefault="00F85C63" w:rsidP="00616BE0">
      <w:pPr>
        <w:shd w:val="clear" w:color="auto" w:fill="FFFFFF"/>
        <w:ind w:hanging="36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0D6E9111" w14:textId="2E8B39D1" w:rsidR="00F85C63" w:rsidRPr="00F85C63" w:rsidRDefault="00F85C63" w:rsidP="00D57303">
      <w:pPr>
        <w:shd w:val="clear" w:color="auto" w:fill="FFFFFF"/>
        <w:textAlignment w:val="baseline"/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</w:rPr>
      </w:pPr>
      <w:r w:rsidRPr="00F85C63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</w:rPr>
        <w:t>Serves as a</w:t>
      </w:r>
      <w:r w:rsidR="008A2CE2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</w:rPr>
        <w:t xml:space="preserve">n emerging </w:t>
      </w:r>
      <w:r w:rsidRPr="00F85C63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</w:rPr>
        <w:t>leader in the firm:</w:t>
      </w:r>
    </w:p>
    <w:p w14:paraId="65BFE621" w14:textId="31C04053" w:rsidR="00F85C63" w:rsidRPr="00F85C63" w:rsidRDefault="00F85C63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sz w:val="21"/>
          <w:szCs w:val="21"/>
          <w:bdr w:val="none" w:sz="0" w:space="0" w:color="auto" w:frame="1"/>
        </w:rPr>
      </w:pPr>
      <w:r w:rsidRPr="00F85C63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Solves problems by analyzing information and evaluating results to recommend the best </w:t>
      </w:r>
      <w:proofErr w:type="gramStart"/>
      <w:r w:rsidRPr="00F85C63">
        <w:rPr>
          <w:rFonts w:eastAsia="Times New Roman" w:cstheme="minorHAnsi"/>
          <w:sz w:val="21"/>
          <w:szCs w:val="21"/>
          <w:bdr w:val="none" w:sz="0" w:space="0" w:color="auto" w:frame="1"/>
        </w:rPr>
        <w:t>solution</w:t>
      </w:r>
      <w:proofErr w:type="gramEnd"/>
    </w:p>
    <w:p w14:paraId="0DEC7F98" w14:textId="5604E019" w:rsidR="00F85C63" w:rsidRPr="00F85C63" w:rsidRDefault="00F85C63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sz w:val="21"/>
          <w:szCs w:val="21"/>
          <w:bdr w:val="none" w:sz="0" w:space="0" w:color="auto" w:frame="1"/>
        </w:rPr>
      </w:pPr>
      <w:r w:rsidRPr="00F85C63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Supports management, client, and/or other groups outside the organization on technical financial planning and investment planning needs, systems, or process-related </w:t>
      </w:r>
      <w:proofErr w:type="gramStart"/>
      <w:r w:rsidRPr="00F85C63">
        <w:rPr>
          <w:rFonts w:eastAsia="Times New Roman" w:cstheme="minorHAnsi"/>
          <w:sz w:val="21"/>
          <w:szCs w:val="21"/>
          <w:bdr w:val="none" w:sz="0" w:space="0" w:color="auto" w:frame="1"/>
        </w:rPr>
        <w:t>topics</w:t>
      </w:r>
      <w:proofErr w:type="gramEnd"/>
    </w:p>
    <w:p w14:paraId="0685113A" w14:textId="1415F22E" w:rsidR="00F85C63" w:rsidRPr="00F85C63" w:rsidRDefault="00F85C63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/>
        <w:textAlignment w:val="baseline"/>
        <w:rPr>
          <w:rFonts w:eastAsia="Times New Roman" w:cstheme="minorHAnsi"/>
          <w:sz w:val="21"/>
          <w:szCs w:val="21"/>
          <w:bdr w:val="none" w:sz="0" w:space="0" w:color="auto" w:frame="1"/>
        </w:rPr>
      </w:pPr>
      <w:r w:rsidRPr="00F85C63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Follows compliance requirements to maintain an effective and robust investment advisory compliance </w:t>
      </w:r>
      <w:proofErr w:type="gramStart"/>
      <w:r w:rsidRPr="00F85C63">
        <w:rPr>
          <w:rFonts w:eastAsia="Times New Roman" w:cstheme="minorHAnsi"/>
          <w:sz w:val="21"/>
          <w:szCs w:val="21"/>
          <w:bdr w:val="none" w:sz="0" w:space="0" w:color="auto" w:frame="1"/>
        </w:rPr>
        <w:t>program</w:t>
      </w:r>
      <w:proofErr w:type="gramEnd"/>
    </w:p>
    <w:p w14:paraId="39F282F0" w14:textId="632E0002" w:rsidR="00F85C63" w:rsidRDefault="00F85C63" w:rsidP="00433D2B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hanging="540"/>
        <w:textAlignment w:val="baseline"/>
        <w:rPr>
          <w:rFonts w:eastAsia="Times New Roman" w:cstheme="minorHAnsi"/>
          <w:sz w:val="21"/>
          <w:szCs w:val="21"/>
          <w:bdr w:val="none" w:sz="0" w:space="0" w:color="auto" w:frame="1"/>
        </w:rPr>
      </w:pPr>
      <w:r w:rsidRPr="00F85C63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Provides procedural oversight, departmental management, and advisory duties to reporting </w:t>
      </w:r>
      <w:proofErr w:type="gramStart"/>
      <w:r w:rsidRPr="00F85C63">
        <w:rPr>
          <w:rFonts w:eastAsia="Times New Roman" w:cstheme="minorHAnsi"/>
          <w:sz w:val="21"/>
          <w:szCs w:val="21"/>
          <w:bdr w:val="none" w:sz="0" w:space="0" w:color="auto" w:frame="1"/>
        </w:rPr>
        <w:t>advisors</w:t>
      </w:r>
      <w:proofErr w:type="gramEnd"/>
    </w:p>
    <w:p w14:paraId="575EC027" w14:textId="77777777" w:rsidR="002951E6" w:rsidRPr="00F85C63" w:rsidRDefault="002951E6" w:rsidP="00616BE0">
      <w:pPr>
        <w:shd w:val="clear" w:color="auto" w:fill="FFFFFF"/>
        <w:ind w:hanging="360"/>
        <w:textAlignment w:val="baseline"/>
        <w:rPr>
          <w:rFonts w:eastAsia="Times New Roman" w:cstheme="minorHAnsi"/>
          <w:sz w:val="21"/>
          <w:szCs w:val="21"/>
          <w:bdr w:val="none" w:sz="0" w:space="0" w:color="auto" w:frame="1"/>
        </w:rPr>
      </w:pPr>
    </w:p>
    <w:p w14:paraId="21264EAF" w14:textId="2F183DF8" w:rsidR="00A33E08" w:rsidRPr="00A03129" w:rsidRDefault="002951E6" w:rsidP="00A03129">
      <w:pPr>
        <w:shd w:val="clear" w:color="auto" w:fill="FFFFFF"/>
        <w:ind w:hanging="36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051B58">
        <w:rPr>
          <w:rFonts w:ascii="Century Gothic" w:hAnsi="Century Gothic" w:cstheme="majorHAnsi"/>
          <w:b/>
          <w:noProof/>
          <w:color w:val="2F5496" w:themeColor="accent1" w:themeShade="BF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DDE1B" wp14:editId="777E5F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19050" b="19050"/>
                <wp:wrapNone/>
                <wp:docPr id="368140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57A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79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0;width:7in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" strokecolor="#857a74" strokeweight="1.5pt"/>
            </w:pict>
          </mc:Fallback>
        </mc:AlternateContent>
      </w:r>
    </w:p>
    <w:p w14:paraId="27EFFA24" w14:textId="158EC4F3" w:rsidR="0057206C" w:rsidRPr="0057206C" w:rsidRDefault="0057206C" w:rsidP="00D57303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</w:pPr>
      <w:r w:rsidRPr="0057206C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</w:rPr>
        <w:t>POSITION SPECIFICATIONS</w:t>
      </w:r>
    </w:p>
    <w:p w14:paraId="164453F9" w14:textId="77777777" w:rsidR="00B354EB" w:rsidRDefault="00B354EB" w:rsidP="00616BE0">
      <w:pPr>
        <w:shd w:val="clear" w:color="auto" w:fill="FFFFFF"/>
        <w:ind w:hanging="36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</w:p>
    <w:p w14:paraId="56563127" w14:textId="77777777" w:rsidR="00B354EB" w:rsidRPr="00B354EB" w:rsidRDefault="00B354EB" w:rsidP="00D57303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Education and Licensing:</w:t>
      </w:r>
    </w:p>
    <w:p w14:paraId="43A879C3" w14:textId="77777777" w:rsidR="00B354EB" w:rsidRPr="00B354EB" w:rsidRDefault="00B354EB" w:rsidP="00433D2B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Bachelor’s degree or higher</w:t>
      </w:r>
    </w:p>
    <w:p w14:paraId="31540A74" w14:textId="60526178" w:rsidR="00B354EB" w:rsidRPr="00B354EB" w:rsidRDefault="001D0DA5" w:rsidP="00433D2B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P</w:t>
      </w:r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ursuit or ability to sit for CFP® </w:t>
      </w:r>
      <w:proofErr w:type="gramStart"/>
      <w:r w:rsidRPr="0057206C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exam</w:t>
      </w:r>
      <w:proofErr w:type="gramEnd"/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</w:p>
    <w:p w14:paraId="0021CB1A" w14:textId="60F0E14C" w:rsidR="00B354EB" w:rsidRPr="00B354EB" w:rsidRDefault="00B354EB" w:rsidP="00433D2B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Ability to attain Series 7, 66</w:t>
      </w:r>
      <w:r w:rsidR="00AF58B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and Insurance</w:t>
      </w:r>
      <w:r w:rsidR="00875C3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License</w:t>
      </w: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in first </w:t>
      </w:r>
      <w:proofErr w:type="gramStart"/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year</w:t>
      </w:r>
      <w:proofErr w:type="gramEnd"/>
    </w:p>
    <w:p w14:paraId="5CED9407" w14:textId="02E4FB4F" w:rsidR="00AD1227" w:rsidRPr="00293860" w:rsidRDefault="00AD1227" w:rsidP="00433D2B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540"/>
        <w:textAlignment w:val="baseline"/>
        <w:rPr>
          <w:rFonts w:eastAsia="Times New Roman" w:cstheme="minorHAnsi"/>
          <w:sz w:val="21"/>
          <w:szCs w:val="21"/>
          <w:bdr w:val="none" w:sz="0" w:space="0" w:color="auto" w:frame="1"/>
        </w:rPr>
      </w:pPr>
      <w:r w:rsidRPr="00293860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0-3 years of experience in a direct </w:t>
      </w:r>
      <w:r w:rsidR="00531061" w:rsidRPr="00293860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client </w:t>
      </w:r>
      <w:r w:rsidRPr="00293860">
        <w:rPr>
          <w:rFonts w:eastAsia="Times New Roman" w:cstheme="minorHAnsi"/>
          <w:sz w:val="21"/>
          <w:szCs w:val="21"/>
          <w:bdr w:val="none" w:sz="0" w:space="0" w:color="auto" w:frame="1"/>
        </w:rPr>
        <w:t>advisory capacity in financial services</w:t>
      </w:r>
      <w:r w:rsidR="0081681D" w:rsidRPr="00293860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</w:t>
      </w:r>
    </w:p>
    <w:p w14:paraId="2B795872" w14:textId="5BBB5709" w:rsidR="00B354EB" w:rsidRPr="00293860" w:rsidRDefault="00B354EB" w:rsidP="00433D2B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540"/>
        <w:textAlignment w:val="baseline"/>
        <w:rPr>
          <w:rFonts w:eastAsia="Times New Roman" w:cstheme="minorHAnsi"/>
          <w:sz w:val="21"/>
          <w:szCs w:val="21"/>
          <w:bdr w:val="none" w:sz="0" w:space="0" w:color="auto" w:frame="1"/>
        </w:rPr>
      </w:pPr>
      <w:r w:rsidRPr="00293860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3+ years of experience in </w:t>
      </w:r>
      <w:r w:rsidR="0081681D" w:rsidRPr="00293860">
        <w:rPr>
          <w:rFonts w:eastAsia="Times New Roman" w:cstheme="minorHAnsi"/>
          <w:sz w:val="21"/>
          <w:szCs w:val="21"/>
          <w:bdr w:val="none" w:sz="0" w:space="0" w:color="auto" w:frame="1"/>
        </w:rPr>
        <w:t>relevant advisory or wealth management experience</w:t>
      </w:r>
      <w:r w:rsidRPr="00293860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(preferred)</w:t>
      </w:r>
    </w:p>
    <w:p w14:paraId="6942E980" w14:textId="77777777" w:rsidR="00B354EB" w:rsidRPr="00B354EB" w:rsidRDefault="00B354EB" w:rsidP="00616BE0">
      <w:pPr>
        <w:shd w:val="clear" w:color="auto" w:fill="FFFFFF"/>
        <w:ind w:hanging="36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</w:p>
    <w:p w14:paraId="4704C4CB" w14:textId="77777777" w:rsidR="00B354EB" w:rsidRPr="00B354EB" w:rsidRDefault="00B354EB" w:rsidP="00972C12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Expert Level Skills</w:t>
      </w:r>
    </w:p>
    <w:p w14:paraId="141C6BAF" w14:textId="77777777" w:rsidR="00293860" w:rsidRDefault="00293860" w:rsidP="00293860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Engage with and genuinely connect with clients of various personalities, backgrounds and </w:t>
      </w:r>
      <w:proofErr w:type="gramStart"/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values</w:t>
      </w:r>
      <w:proofErr w:type="gramEnd"/>
    </w:p>
    <w:p w14:paraId="1CFE6BCD" w14:textId="77777777" w:rsidR="00B354EB" w:rsidRP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Honesty and Integrity</w:t>
      </w:r>
    </w:p>
    <w:p w14:paraId="677A58F5" w14:textId="77777777" w:rsidR="00B354EB" w:rsidRP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Client Confidentiality</w:t>
      </w:r>
    </w:p>
    <w:p w14:paraId="5BB3A5C4" w14:textId="77777777" w:rsid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Attention to </w:t>
      </w:r>
      <w:proofErr w:type="gramStart"/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detail</w:t>
      </w:r>
      <w:proofErr w:type="gramEnd"/>
    </w:p>
    <w:p w14:paraId="0D8FB5C8" w14:textId="6F41A33A" w:rsidR="008F75F5" w:rsidRPr="00972C12" w:rsidRDefault="00AC6E17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sz w:val="21"/>
          <w:szCs w:val="21"/>
          <w:bdr w:val="none" w:sz="0" w:space="0" w:color="auto" w:frame="1"/>
        </w:rPr>
      </w:pPr>
      <w:r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D</w:t>
      </w:r>
      <w:r w:rsidR="008F75F5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esire to support</w:t>
      </w:r>
      <w:r w:rsidR="00E056A0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and</w:t>
      </w:r>
      <w:r w:rsidR="006E27CD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grow</w:t>
      </w:r>
      <w:r w:rsidR="008F6526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a</w:t>
      </w:r>
      <w:r w:rsidR="0081681D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s a</w:t>
      </w:r>
      <w:r w:rsidR="008F6526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 </w:t>
      </w:r>
      <w:r w:rsidR="0081681D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long-term team member with a great </w:t>
      </w:r>
      <w:r w:rsidR="00E03045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a</w:t>
      </w:r>
      <w:r w:rsidR="008F6526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dvisory </w:t>
      </w:r>
      <w:r w:rsidR="0081681D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&amp; </w:t>
      </w:r>
      <w:r w:rsidR="00E03045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w</w:t>
      </w:r>
      <w:r w:rsidR="008F6526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ealth </w:t>
      </w:r>
      <w:r w:rsidR="00E03045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m</w:t>
      </w:r>
      <w:r w:rsidR="008F6526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anagement </w:t>
      </w:r>
      <w:r w:rsidR="00E03045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f</w:t>
      </w:r>
      <w:r w:rsidR="008F6526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irm </w:t>
      </w:r>
      <w:r w:rsidR="00BF6AFE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in West Texas</w:t>
      </w:r>
      <w:r w:rsidR="0081681D" w:rsidRPr="00972C12">
        <w:rPr>
          <w:rFonts w:eastAsia="Times New Roman" w:cstheme="minorHAnsi"/>
          <w:sz w:val="21"/>
          <w:szCs w:val="21"/>
          <w:bdr w:val="none" w:sz="0" w:space="0" w:color="auto" w:frame="1"/>
        </w:rPr>
        <w:t>.</w:t>
      </w:r>
    </w:p>
    <w:p w14:paraId="7887CB70" w14:textId="77777777" w:rsidR="00B354EB" w:rsidRPr="00B354EB" w:rsidRDefault="00B354EB" w:rsidP="00616BE0">
      <w:pPr>
        <w:shd w:val="clear" w:color="auto" w:fill="FFFFFF"/>
        <w:ind w:hanging="36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</w:p>
    <w:p w14:paraId="0C94923C" w14:textId="64CAAB9A" w:rsidR="00B354EB" w:rsidRPr="00B354EB" w:rsidRDefault="00B354EB" w:rsidP="00972C12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 w:rsidRPr="00B354EB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lastRenderedPageBreak/>
        <w:t xml:space="preserve">Proficiency </w:t>
      </w:r>
      <w:r w:rsidR="00D35C3E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 xml:space="preserve">Level </w:t>
      </w:r>
      <w:r w:rsidRPr="00B354EB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Skills</w:t>
      </w:r>
    </w:p>
    <w:p w14:paraId="2656FF74" w14:textId="77777777" w:rsidR="00D46BBC" w:rsidRPr="00747490" w:rsidRDefault="00D46BBC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C</w:t>
      </w:r>
      <w:r w:rsidRPr="0074749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ommunication skills (verbal, written, empathy and listening)</w:t>
      </w:r>
    </w:p>
    <w:p w14:paraId="3ABAB5BB" w14:textId="3F953DBA" w:rsidR="00B354EB" w:rsidRP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Microsoft Office Suite/Google Workspace Tools</w:t>
      </w:r>
      <w:r w:rsidR="003B22F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3B22F4" w:rsidRPr="003B22F4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and common financial planning and investment management applications</w:t>
      </w:r>
    </w:p>
    <w:p w14:paraId="27DA87AC" w14:textId="2F66A2B6" w:rsidR="00B354EB" w:rsidRPr="00B354EB" w:rsidRDefault="003B22F4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Redtail CRM</w:t>
      </w:r>
    </w:p>
    <w:p w14:paraId="0593A8EE" w14:textId="77777777" w:rsidR="00B354EB" w:rsidRP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Knowledge of Broker Dealer and Investment Advisory Regulations</w:t>
      </w:r>
    </w:p>
    <w:p w14:paraId="0CC464F7" w14:textId="77777777" w:rsidR="00B354EB" w:rsidRP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Sales and Leadership</w:t>
      </w:r>
    </w:p>
    <w:p w14:paraId="65621B8A" w14:textId="77777777" w:rsidR="00B354EB" w:rsidRP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Securities, Financial Planning, Investments, and Insurance</w:t>
      </w:r>
    </w:p>
    <w:p w14:paraId="7FC765BB" w14:textId="1813849B" w:rsidR="00B354EB" w:rsidRP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Data/Information Analysis and Sourcing</w:t>
      </w:r>
    </w:p>
    <w:p w14:paraId="1F96A6A7" w14:textId="77777777" w:rsidR="00B354EB" w:rsidRPr="00B354EB" w:rsidRDefault="00B354EB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Financial planning analysis and modeling</w:t>
      </w:r>
    </w:p>
    <w:p w14:paraId="79480B12" w14:textId="77777777" w:rsidR="00D46BBC" w:rsidRPr="00B354EB" w:rsidRDefault="0057206C" w:rsidP="00616BE0">
      <w:pPr>
        <w:shd w:val="clear" w:color="auto" w:fill="FFFFFF"/>
        <w:ind w:hanging="36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57206C">
        <w:rPr>
          <w:rFonts w:eastAsia="Times New Roman" w:cstheme="minorHAnsi"/>
          <w:color w:val="000000" w:themeColor="text1"/>
          <w:sz w:val="21"/>
          <w:szCs w:val="21"/>
          <w:u w:val="single"/>
          <w:bdr w:val="none" w:sz="0" w:space="0" w:color="auto" w:frame="1"/>
        </w:rPr>
        <w:br/>
      </w:r>
      <w:r w:rsidR="00D46BBC" w:rsidRPr="00B354EB">
        <w:rPr>
          <w:rFonts w:eastAsia="Times New Roman" w:cstheme="minorHAnsi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Emerging Level Skills</w:t>
      </w:r>
    </w:p>
    <w:p w14:paraId="5BDDADC5" w14:textId="77777777" w:rsidR="00D46BBC" w:rsidRPr="00B354EB" w:rsidRDefault="00D46BBC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B354E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Stress Management</w:t>
      </w:r>
    </w:p>
    <w:p w14:paraId="2E1A3D12" w14:textId="76C345F5" w:rsidR="008F1AEF" w:rsidRPr="00433D2B" w:rsidRDefault="00D46BBC" w:rsidP="00433D2B">
      <w:pPr>
        <w:numPr>
          <w:ilvl w:val="0"/>
          <w:numId w:val="16"/>
        </w:numPr>
        <w:shd w:val="clear" w:color="auto" w:fill="FFFFFF"/>
        <w:ind w:left="54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T</w:t>
      </w:r>
      <w:r w:rsidRPr="00F05D5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ime management and strong organizational skills, and ability to prioritize multiple tasks and anticipate potential </w:t>
      </w:r>
      <w:proofErr w:type="gramStart"/>
      <w:r w:rsidRPr="00F05D5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problems</w:t>
      </w:r>
      <w:proofErr w:type="gramEnd"/>
    </w:p>
    <w:sectPr w:rsidR="008F1AEF" w:rsidRPr="00433D2B" w:rsidSect="00B92398">
      <w:headerReference w:type="default" r:id="rId7"/>
      <w:pgSz w:w="12240" w:h="15840"/>
      <w:pgMar w:top="1440" w:right="1440" w:bottom="133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3113" w14:textId="77777777" w:rsidR="00441E3E" w:rsidRDefault="00441E3E" w:rsidP="003869C0">
      <w:r>
        <w:separator/>
      </w:r>
    </w:p>
  </w:endnote>
  <w:endnote w:type="continuationSeparator" w:id="0">
    <w:p w14:paraId="635D4424" w14:textId="77777777" w:rsidR="00441E3E" w:rsidRDefault="00441E3E" w:rsidP="0038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2CF2" w14:textId="77777777" w:rsidR="00441E3E" w:rsidRDefault="00441E3E" w:rsidP="003869C0">
      <w:r>
        <w:separator/>
      </w:r>
    </w:p>
  </w:footnote>
  <w:footnote w:type="continuationSeparator" w:id="0">
    <w:p w14:paraId="1747A341" w14:textId="77777777" w:rsidR="00441E3E" w:rsidRDefault="00441E3E" w:rsidP="0038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6108" w14:textId="1013A52B" w:rsidR="003869C0" w:rsidRDefault="003869C0" w:rsidP="003869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26E"/>
    <w:multiLevelType w:val="multilevel"/>
    <w:tmpl w:val="025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C4A5D"/>
    <w:multiLevelType w:val="multilevel"/>
    <w:tmpl w:val="4520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513D4"/>
    <w:multiLevelType w:val="multilevel"/>
    <w:tmpl w:val="9F7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EB17D9"/>
    <w:multiLevelType w:val="multilevel"/>
    <w:tmpl w:val="0A72321E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FB0C74"/>
    <w:multiLevelType w:val="hybridMultilevel"/>
    <w:tmpl w:val="B9FC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1C700F"/>
    <w:multiLevelType w:val="multilevel"/>
    <w:tmpl w:val="9C96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8556D4"/>
    <w:multiLevelType w:val="multilevel"/>
    <w:tmpl w:val="825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94FE9"/>
    <w:multiLevelType w:val="hybridMultilevel"/>
    <w:tmpl w:val="B71C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7823"/>
    <w:multiLevelType w:val="multilevel"/>
    <w:tmpl w:val="384A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DD1038"/>
    <w:multiLevelType w:val="hybridMultilevel"/>
    <w:tmpl w:val="F9EA1BC0"/>
    <w:lvl w:ilvl="0" w:tplc="C074BA92">
      <w:start w:val="2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CAC0F17"/>
    <w:multiLevelType w:val="multilevel"/>
    <w:tmpl w:val="34E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EB3E93"/>
    <w:multiLevelType w:val="multilevel"/>
    <w:tmpl w:val="96FC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4F4E64"/>
    <w:multiLevelType w:val="multilevel"/>
    <w:tmpl w:val="3D1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2617452">
    <w:abstractNumId w:val="12"/>
  </w:num>
  <w:num w:numId="2" w16cid:durableId="994072203">
    <w:abstractNumId w:val="5"/>
  </w:num>
  <w:num w:numId="3" w16cid:durableId="1568491681">
    <w:abstractNumId w:val="2"/>
  </w:num>
  <w:num w:numId="4" w16cid:durableId="1567719101">
    <w:abstractNumId w:val="3"/>
  </w:num>
  <w:num w:numId="5" w16cid:durableId="262537859">
    <w:abstractNumId w:val="0"/>
  </w:num>
  <w:num w:numId="6" w16cid:durableId="1502619199">
    <w:abstractNumId w:val="1"/>
  </w:num>
  <w:num w:numId="7" w16cid:durableId="1918124577">
    <w:abstractNumId w:val="6"/>
  </w:num>
  <w:num w:numId="8" w16cid:durableId="1039747538">
    <w:abstractNumId w:val="11"/>
  </w:num>
  <w:num w:numId="9" w16cid:durableId="826673684">
    <w:abstractNumId w:val="10"/>
  </w:num>
  <w:num w:numId="10" w16cid:durableId="1357464300">
    <w:abstractNumId w:val="8"/>
  </w:num>
  <w:num w:numId="11" w16cid:durableId="1794010852">
    <w:abstractNumId w:val="4"/>
  </w:num>
  <w:num w:numId="12" w16cid:durableId="1939562149">
    <w:abstractNumId w:val="9"/>
  </w:num>
  <w:num w:numId="13" w16cid:durableId="375786825">
    <w:abstractNumId w:val="12"/>
  </w:num>
  <w:num w:numId="14" w16cid:durableId="1117524670">
    <w:abstractNumId w:val="5"/>
  </w:num>
  <w:num w:numId="15" w16cid:durableId="1573999542">
    <w:abstractNumId w:val="2"/>
  </w:num>
  <w:num w:numId="16" w16cid:durableId="643779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C0"/>
    <w:rsid w:val="00001CAB"/>
    <w:rsid w:val="00005CAF"/>
    <w:rsid w:val="000226F0"/>
    <w:rsid w:val="00022E67"/>
    <w:rsid w:val="00026438"/>
    <w:rsid w:val="00051B58"/>
    <w:rsid w:val="00053F02"/>
    <w:rsid w:val="0006162F"/>
    <w:rsid w:val="000627EE"/>
    <w:rsid w:val="00086068"/>
    <w:rsid w:val="0009273B"/>
    <w:rsid w:val="000B4F6C"/>
    <w:rsid w:val="000D65B3"/>
    <w:rsid w:val="000D7BD6"/>
    <w:rsid w:val="000E3CE7"/>
    <w:rsid w:val="000E6D92"/>
    <w:rsid w:val="000F0EBF"/>
    <w:rsid w:val="000F2F41"/>
    <w:rsid w:val="000F4F80"/>
    <w:rsid w:val="000F7DD1"/>
    <w:rsid w:val="0010639A"/>
    <w:rsid w:val="001105BB"/>
    <w:rsid w:val="0012742F"/>
    <w:rsid w:val="0013384C"/>
    <w:rsid w:val="001354E0"/>
    <w:rsid w:val="001433DD"/>
    <w:rsid w:val="001600AC"/>
    <w:rsid w:val="001655CB"/>
    <w:rsid w:val="00167C72"/>
    <w:rsid w:val="00176C3E"/>
    <w:rsid w:val="00190AB0"/>
    <w:rsid w:val="0019573B"/>
    <w:rsid w:val="00195E76"/>
    <w:rsid w:val="001A2225"/>
    <w:rsid w:val="001A4357"/>
    <w:rsid w:val="001A4F5C"/>
    <w:rsid w:val="001A7258"/>
    <w:rsid w:val="001B11D9"/>
    <w:rsid w:val="001B1420"/>
    <w:rsid w:val="001C4D6C"/>
    <w:rsid w:val="001D0DA5"/>
    <w:rsid w:val="001D2F0C"/>
    <w:rsid w:val="001D38FF"/>
    <w:rsid w:val="001D3932"/>
    <w:rsid w:val="001D6259"/>
    <w:rsid w:val="002066BB"/>
    <w:rsid w:val="0020692D"/>
    <w:rsid w:val="00213EDE"/>
    <w:rsid w:val="00215850"/>
    <w:rsid w:val="00216516"/>
    <w:rsid w:val="00222F80"/>
    <w:rsid w:val="00230290"/>
    <w:rsid w:val="00231E98"/>
    <w:rsid w:val="002414EE"/>
    <w:rsid w:val="00242A7A"/>
    <w:rsid w:val="002471D0"/>
    <w:rsid w:val="002570A5"/>
    <w:rsid w:val="00273309"/>
    <w:rsid w:val="00273D45"/>
    <w:rsid w:val="0028022B"/>
    <w:rsid w:val="00293860"/>
    <w:rsid w:val="002951E6"/>
    <w:rsid w:val="00295637"/>
    <w:rsid w:val="002B5C74"/>
    <w:rsid w:val="002D2F25"/>
    <w:rsid w:val="002D6F41"/>
    <w:rsid w:val="002F35B4"/>
    <w:rsid w:val="002F4844"/>
    <w:rsid w:val="00303468"/>
    <w:rsid w:val="00304DA1"/>
    <w:rsid w:val="003219A7"/>
    <w:rsid w:val="00324278"/>
    <w:rsid w:val="0033044E"/>
    <w:rsid w:val="00334967"/>
    <w:rsid w:val="00346185"/>
    <w:rsid w:val="003461B4"/>
    <w:rsid w:val="003532E1"/>
    <w:rsid w:val="00364CBD"/>
    <w:rsid w:val="00375C58"/>
    <w:rsid w:val="003869C0"/>
    <w:rsid w:val="00387F1E"/>
    <w:rsid w:val="00387FEC"/>
    <w:rsid w:val="00395158"/>
    <w:rsid w:val="0039673C"/>
    <w:rsid w:val="00397E9C"/>
    <w:rsid w:val="003A0698"/>
    <w:rsid w:val="003B22F4"/>
    <w:rsid w:val="003B616D"/>
    <w:rsid w:val="003C2C41"/>
    <w:rsid w:val="003C5735"/>
    <w:rsid w:val="003D62C3"/>
    <w:rsid w:val="003E0D25"/>
    <w:rsid w:val="003E10F2"/>
    <w:rsid w:val="003E247F"/>
    <w:rsid w:val="003E733A"/>
    <w:rsid w:val="003F4747"/>
    <w:rsid w:val="004329F4"/>
    <w:rsid w:val="00433D2B"/>
    <w:rsid w:val="00434CD6"/>
    <w:rsid w:val="004362F1"/>
    <w:rsid w:val="0043759D"/>
    <w:rsid w:val="00441E3E"/>
    <w:rsid w:val="00445FFB"/>
    <w:rsid w:val="00451DBA"/>
    <w:rsid w:val="004661C9"/>
    <w:rsid w:val="00470D0C"/>
    <w:rsid w:val="00474E36"/>
    <w:rsid w:val="00477EE2"/>
    <w:rsid w:val="00482245"/>
    <w:rsid w:val="004B2B70"/>
    <w:rsid w:val="004B3AA4"/>
    <w:rsid w:val="004C2533"/>
    <w:rsid w:val="004C297A"/>
    <w:rsid w:val="004D753E"/>
    <w:rsid w:val="004E7271"/>
    <w:rsid w:val="004E7A17"/>
    <w:rsid w:val="004F1C03"/>
    <w:rsid w:val="004F3850"/>
    <w:rsid w:val="00510AF9"/>
    <w:rsid w:val="00515B94"/>
    <w:rsid w:val="00525B72"/>
    <w:rsid w:val="00525C5D"/>
    <w:rsid w:val="00531061"/>
    <w:rsid w:val="00536F0D"/>
    <w:rsid w:val="00540A06"/>
    <w:rsid w:val="005475C2"/>
    <w:rsid w:val="00547772"/>
    <w:rsid w:val="00550183"/>
    <w:rsid w:val="00557981"/>
    <w:rsid w:val="005647F8"/>
    <w:rsid w:val="00567700"/>
    <w:rsid w:val="0057206C"/>
    <w:rsid w:val="005803B4"/>
    <w:rsid w:val="00582FB1"/>
    <w:rsid w:val="00587A34"/>
    <w:rsid w:val="0059738A"/>
    <w:rsid w:val="005B57DB"/>
    <w:rsid w:val="005D0CE0"/>
    <w:rsid w:val="005D1F06"/>
    <w:rsid w:val="0061302C"/>
    <w:rsid w:val="00614413"/>
    <w:rsid w:val="00616BE0"/>
    <w:rsid w:val="00655C99"/>
    <w:rsid w:val="00680AED"/>
    <w:rsid w:val="00683F1C"/>
    <w:rsid w:val="006929CB"/>
    <w:rsid w:val="006B3EFC"/>
    <w:rsid w:val="006C1508"/>
    <w:rsid w:val="006D1EB0"/>
    <w:rsid w:val="006D7F46"/>
    <w:rsid w:val="006E0513"/>
    <w:rsid w:val="006E27CD"/>
    <w:rsid w:val="006F2135"/>
    <w:rsid w:val="006F3187"/>
    <w:rsid w:val="006F64D5"/>
    <w:rsid w:val="006F7E14"/>
    <w:rsid w:val="007119F5"/>
    <w:rsid w:val="00726700"/>
    <w:rsid w:val="0074246E"/>
    <w:rsid w:val="00747490"/>
    <w:rsid w:val="00753D66"/>
    <w:rsid w:val="00755008"/>
    <w:rsid w:val="00756D56"/>
    <w:rsid w:val="00782876"/>
    <w:rsid w:val="007A4B51"/>
    <w:rsid w:val="007A6EC1"/>
    <w:rsid w:val="007F0C97"/>
    <w:rsid w:val="0080119F"/>
    <w:rsid w:val="0081681D"/>
    <w:rsid w:val="00825942"/>
    <w:rsid w:val="0084048C"/>
    <w:rsid w:val="00855608"/>
    <w:rsid w:val="00860BD4"/>
    <w:rsid w:val="00872D13"/>
    <w:rsid w:val="0087429F"/>
    <w:rsid w:val="00875C30"/>
    <w:rsid w:val="00882A20"/>
    <w:rsid w:val="00882BEA"/>
    <w:rsid w:val="00884BBA"/>
    <w:rsid w:val="00885376"/>
    <w:rsid w:val="008878B7"/>
    <w:rsid w:val="008A2CE2"/>
    <w:rsid w:val="008B3331"/>
    <w:rsid w:val="008B65AD"/>
    <w:rsid w:val="008C730C"/>
    <w:rsid w:val="008E104B"/>
    <w:rsid w:val="008E233E"/>
    <w:rsid w:val="008F1AEF"/>
    <w:rsid w:val="008F6526"/>
    <w:rsid w:val="008F75F5"/>
    <w:rsid w:val="009022FC"/>
    <w:rsid w:val="009054A5"/>
    <w:rsid w:val="00911A84"/>
    <w:rsid w:val="00915A03"/>
    <w:rsid w:val="009375C0"/>
    <w:rsid w:val="009459FD"/>
    <w:rsid w:val="00945B37"/>
    <w:rsid w:val="00946373"/>
    <w:rsid w:val="00961F0B"/>
    <w:rsid w:val="00963332"/>
    <w:rsid w:val="009728FD"/>
    <w:rsid w:val="00972C12"/>
    <w:rsid w:val="00975747"/>
    <w:rsid w:val="00981535"/>
    <w:rsid w:val="009878F7"/>
    <w:rsid w:val="00996814"/>
    <w:rsid w:val="009A0EFC"/>
    <w:rsid w:val="009A55BD"/>
    <w:rsid w:val="009B51C0"/>
    <w:rsid w:val="009C1902"/>
    <w:rsid w:val="009C1BF4"/>
    <w:rsid w:val="009C2C96"/>
    <w:rsid w:val="009D7A92"/>
    <w:rsid w:val="00A03129"/>
    <w:rsid w:val="00A110E5"/>
    <w:rsid w:val="00A2350D"/>
    <w:rsid w:val="00A33E08"/>
    <w:rsid w:val="00A431ED"/>
    <w:rsid w:val="00A5125F"/>
    <w:rsid w:val="00A56322"/>
    <w:rsid w:val="00A56F81"/>
    <w:rsid w:val="00A87199"/>
    <w:rsid w:val="00A942A4"/>
    <w:rsid w:val="00A95910"/>
    <w:rsid w:val="00A95B9B"/>
    <w:rsid w:val="00AA1608"/>
    <w:rsid w:val="00AA7A52"/>
    <w:rsid w:val="00AC6E17"/>
    <w:rsid w:val="00AD1227"/>
    <w:rsid w:val="00AD6677"/>
    <w:rsid w:val="00AE7DCB"/>
    <w:rsid w:val="00AF225B"/>
    <w:rsid w:val="00AF4ECB"/>
    <w:rsid w:val="00AF58B3"/>
    <w:rsid w:val="00AF6391"/>
    <w:rsid w:val="00AF707C"/>
    <w:rsid w:val="00AF7C7E"/>
    <w:rsid w:val="00B03E27"/>
    <w:rsid w:val="00B12ADE"/>
    <w:rsid w:val="00B21C59"/>
    <w:rsid w:val="00B3004F"/>
    <w:rsid w:val="00B323E2"/>
    <w:rsid w:val="00B354EB"/>
    <w:rsid w:val="00B50C4C"/>
    <w:rsid w:val="00B55B4D"/>
    <w:rsid w:val="00B62E31"/>
    <w:rsid w:val="00B73D78"/>
    <w:rsid w:val="00B91420"/>
    <w:rsid w:val="00B92398"/>
    <w:rsid w:val="00B939A6"/>
    <w:rsid w:val="00B943F8"/>
    <w:rsid w:val="00BA59E9"/>
    <w:rsid w:val="00BC06F3"/>
    <w:rsid w:val="00BD1110"/>
    <w:rsid w:val="00BD6BE2"/>
    <w:rsid w:val="00BE3846"/>
    <w:rsid w:val="00BF1D76"/>
    <w:rsid w:val="00BF6AFE"/>
    <w:rsid w:val="00C03D6F"/>
    <w:rsid w:val="00C40A14"/>
    <w:rsid w:val="00C42C0E"/>
    <w:rsid w:val="00C43534"/>
    <w:rsid w:val="00C457A9"/>
    <w:rsid w:val="00C47AC2"/>
    <w:rsid w:val="00C54339"/>
    <w:rsid w:val="00C61547"/>
    <w:rsid w:val="00C65D27"/>
    <w:rsid w:val="00C7149A"/>
    <w:rsid w:val="00C728BB"/>
    <w:rsid w:val="00C73050"/>
    <w:rsid w:val="00C75492"/>
    <w:rsid w:val="00C97819"/>
    <w:rsid w:val="00CA4F38"/>
    <w:rsid w:val="00CA55C0"/>
    <w:rsid w:val="00CA7EBA"/>
    <w:rsid w:val="00CB755B"/>
    <w:rsid w:val="00CC3C1F"/>
    <w:rsid w:val="00CC3DF6"/>
    <w:rsid w:val="00CD16B4"/>
    <w:rsid w:val="00CD5207"/>
    <w:rsid w:val="00D22EB2"/>
    <w:rsid w:val="00D246D3"/>
    <w:rsid w:val="00D35C3E"/>
    <w:rsid w:val="00D364EF"/>
    <w:rsid w:val="00D371B9"/>
    <w:rsid w:val="00D40CE5"/>
    <w:rsid w:val="00D41771"/>
    <w:rsid w:val="00D43473"/>
    <w:rsid w:val="00D46BBC"/>
    <w:rsid w:val="00D546AA"/>
    <w:rsid w:val="00D57303"/>
    <w:rsid w:val="00D75202"/>
    <w:rsid w:val="00D90358"/>
    <w:rsid w:val="00D97B2F"/>
    <w:rsid w:val="00DA737B"/>
    <w:rsid w:val="00DC075D"/>
    <w:rsid w:val="00DC3A77"/>
    <w:rsid w:val="00DD4A9B"/>
    <w:rsid w:val="00DE2B91"/>
    <w:rsid w:val="00DE7101"/>
    <w:rsid w:val="00DF68B4"/>
    <w:rsid w:val="00DF7345"/>
    <w:rsid w:val="00E03045"/>
    <w:rsid w:val="00E056A0"/>
    <w:rsid w:val="00E14A9B"/>
    <w:rsid w:val="00E22310"/>
    <w:rsid w:val="00E246D9"/>
    <w:rsid w:val="00E24DEB"/>
    <w:rsid w:val="00E26F86"/>
    <w:rsid w:val="00E305E2"/>
    <w:rsid w:val="00E34836"/>
    <w:rsid w:val="00E377C9"/>
    <w:rsid w:val="00E43B76"/>
    <w:rsid w:val="00E466A0"/>
    <w:rsid w:val="00E51C8B"/>
    <w:rsid w:val="00E533A3"/>
    <w:rsid w:val="00E65244"/>
    <w:rsid w:val="00E667FE"/>
    <w:rsid w:val="00E712EB"/>
    <w:rsid w:val="00E727FA"/>
    <w:rsid w:val="00E85D64"/>
    <w:rsid w:val="00E94300"/>
    <w:rsid w:val="00EA6C0A"/>
    <w:rsid w:val="00EB55F8"/>
    <w:rsid w:val="00EB6629"/>
    <w:rsid w:val="00EB7486"/>
    <w:rsid w:val="00EC412A"/>
    <w:rsid w:val="00ED23DC"/>
    <w:rsid w:val="00ED3630"/>
    <w:rsid w:val="00EE38D3"/>
    <w:rsid w:val="00EE6D48"/>
    <w:rsid w:val="00F01D1A"/>
    <w:rsid w:val="00F0372A"/>
    <w:rsid w:val="00F05D5B"/>
    <w:rsid w:val="00F068D8"/>
    <w:rsid w:val="00F06C08"/>
    <w:rsid w:val="00F26DDE"/>
    <w:rsid w:val="00F33C85"/>
    <w:rsid w:val="00F53AEB"/>
    <w:rsid w:val="00F547C9"/>
    <w:rsid w:val="00F54A3F"/>
    <w:rsid w:val="00F57724"/>
    <w:rsid w:val="00F61B26"/>
    <w:rsid w:val="00F6454B"/>
    <w:rsid w:val="00F6527D"/>
    <w:rsid w:val="00F67AFB"/>
    <w:rsid w:val="00F71EE9"/>
    <w:rsid w:val="00F80551"/>
    <w:rsid w:val="00F82BA3"/>
    <w:rsid w:val="00F85C63"/>
    <w:rsid w:val="00FA0DC0"/>
    <w:rsid w:val="00FA5CC9"/>
    <w:rsid w:val="00FA5F93"/>
    <w:rsid w:val="00FB752C"/>
    <w:rsid w:val="00FD003E"/>
    <w:rsid w:val="00FD3D14"/>
    <w:rsid w:val="00FD6031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9752"/>
  <w15:chartTrackingRefBased/>
  <w15:docId w15:val="{9EFDECF1-3459-4D03-A69A-15C82AB7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C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9C0"/>
  </w:style>
  <w:style w:type="paragraph" w:styleId="Footer">
    <w:name w:val="footer"/>
    <w:basedOn w:val="Normal"/>
    <w:link w:val="FooterChar"/>
    <w:uiPriority w:val="99"/>
    <w:unhideWhenUsed/>
    <w:rsid w:val="0038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9C0"/>
  </w:style>
  <w:style w:type="paragraph" w:styleId="ListParagraph">
    <w:name w:val="List Paragraph"/>
    <w:basedOn w:val="Normal"/>
    <w:uiPriority w:val="34"/>
    <w:qFormat/>
    <w:rsid w:val="00874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9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Moss</dc:creator>
  <cp:keywords/>
  <dc:description/>
  <cp:lastModifiedBy>Byron Tapp</cp:lastModifiedBy>
  <cp:revision>140</cp:revision>
  <dcterms:created xsi:type="dcterms:W3CDTF">2023-08-18T16:48:00Z</dcterms:created>
  <dcterms:modified xsi:type="dcterms:W3CDTF">2023-08-31T00:54:00Z</dcterms:modified>
</cp:coreProperties>
</file>