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49" w:rsidRPr="001A546C" w:rsidRDefault="00B01D49" w:rsidP="00F6273A">
      <w:pPr>
        <w:jc w:val="center"/>
        <w:rPr>
          <w:rFonts w:ascii="Times New Roman" w:hAnsi="Times New Roman" w:cs="Times New Roman"/>
          <w:b/>
          <w:sz w:val="24"/>
          <w:szCs w:val="24"/>
        </w:rPr>
      </w:pPr>
      <w:bookmarkStart w:id="0" w:name="_GoBack"/>
      <w:bookmarkEnd w:id="0"/>
      <w:r w:rsidRPr="001A546C">
        <w:rPr>
          <w:rFonts w:ascii="Times New Roman" w:hAnsi="Times New Roman" w:cs="Times New Roman"/>
          <w:b/>
          <w:sz w:val="24"/>
          <w:szCs w:val="24"/>
        </w:rPr>
        <w:t>Academic Engagement Ad Hoc Committee Meeting</w:t>
      </w:r>
    </w:p>
    <w:p w:rsidR="00B01D49" w:rsidRPr="001A546C" w:rsidRDefault="00027679" w:rsidP="00F6273A">
      <w:pPr>
        <w:jc w:val="center"/>
        <w:rPr>
          <w:rFonts w:ascii="Times New Roman" w:hAnsi="Times New Roman" w:cs="Times New Roman"/>
          <w:b/>
          <w:sz w:val="24"/>
          <w:szCs w:val="24"/>
        </w:rPr>
      </w:pPr>
      <w:r w:rsidRPr="001A546C">
        <w:rPr>
          <w:rFonts w:ascii="Times New Roman" w:hAnsi="Times New Roman" w:cs="Times New Roman"/>
          <w:b/>
          <w:sz w:val="24"/>
          <w:szCs w:val="24"/>
        </w:rPr>
        <w:t>3/22</w:t>
      </w:r>
      <w:r w:rsidR="00B01D49" w:rsidRPr="001A546C">
        <w:rPr>
          <w:rFonts w:ascii="Times New Roman" w:hAnsi="Times New Roman" w:cs="Times New Roman"/>
          <w:b/>
          <w:sz w:val="24"/>
          <w:szCs w:val="24"/>
        </w:rPr>
        <w:t>/2016</w:t>
      </w:r>
    </w:p>
    <w:p w:rsidR="00B01D49" w:rsidRPr="001A546C" w:rsidRDefault="00B01D49" w:rsidP="00F6273A">
      <w:pPr>
        <w:jc w:val="center"/>
        <w:rPr>
          <w:rFonts w:ascii="Times New Roman" w:hAnsi="Times New Roman" w:cs="Times New Roman"/>
          <w:b/>
          <w:sz w:val="24"/>
          <w:szCs w:val="24"/>
        </w:rPr>
      </w:pPr>
      <w:r w:rsidRPr="001A546C">
        <w:rPr>
          <w:rFonts w:ascii="Times New Roman" w:hAnsi="Times New Roman" w:cs="Times New Roman"/>
          <w:b/>
          <w:sz w:val="24"/>
          <w:szCs w:val="24"/>
        </w:rPr>
        <w:t>MINUTES</w:t>
      </w:r>
    </w:p>
    <w:p w:rsidR="00B01D49" w:rsidRPr="00432530" w:rsidRDefault="00F6273A" w:rsidP="00F6273A">
      <w:pPr>
        <w:rPr>
          <w:rFonts w:ascii="Times New Roman" w:hAnsi="Times New Roman" w:cs="Times New Roman"/>
          <w:sz w:val="24"/>
          <w:szCs w:val="24"/>
        </w:rPr>
      </w:pPr>
      <w:r w:rsidRPr="00432530">
        <w:rPr>
          <w:rFonts w:ascii="Times New Roman" w:hAnsi="Times New Roman" w:cs="Times New Roman"/>
          <w:b/>
          <w:sz w:val="24"/>
          <w:szCs w:val="24"/>
        </w:rPr>
        <w:t>Present:</w:t>
      </w:r>
      <w:r w:rsidRPr="00432530">
        <w:rPr>
          <w:rFonts w:ascii="Times New Roman" w:hAnsi="Times New Roman" w:cs="Times New Roman"/>
          <w:i/>
          <w:sz w:val="24"/>
          <w:szCs w:val="24"/>
        </w:rPr>
        <w:t xml:space="preserve"> </w:t>
      </w:r>
      <w:r w:rsidR="00B01D49" w:rsidRPr="00432530">
        <w:rPr>
          <w:rFonts w:ascii="Times New Roman" w:hAnsi="Times New Roman" w:cs="Times New Roman"/>
          <w:sz w:val="24"/>
          <w:szCs w:val="24"/>
        </w:rPr>
        <w:t>Jaclyn Canas (Arts &amp; Sciences), Sarah Dodd</w:t>
      </w:r>
      <w:r w:rsidR="00646599" w:rsidRPr="00432530">
        <w:rPr>
          <w:rFonts w:ascii="Times New Roman" w:hAnsi="Times New Roman" w:cs="Times New Roman"/>
          <w:sz w:val="24"/>
          <w:szCs w:val="24"/>
        </w:rPr>
        <w:t xml:space="preserve"> (Human Science</w:t>
      </w:r>
      <w:r w:rsidRPr="00432530">
        <w:rPr>
          <w:rFonts w:ascii="Times New Roman" w:hAnsi="Times New Roman" w:cs="Times New Roman"/>
          <w:sz w:val="24"/>
          <w:szCs w:val="24"/>
        </w:rPr>
        <w:t>s</w:t>
      </w:r>
      <w:r w:rsidR="00646599" w:rsidRPr="00432530">
        <w:rPr>
          <w:rFonts w:ascii="Times New Roman" w:hAnsi="Times New Roman" w:cs="Times New Roman"/>
          <w:sz w:val="24"/>
          <w:szCs w:val="24"/>
        </w:rPr>
        <w:t>),</w:t>
      </w:r>
      <w:r w:rsidR="00B01D49" w:rsidRPr="00432530">
        <w:rPr>
          <w:rFonts w:ascii="Times New Roman" w:hAnsi="Times New Roman" w:cs="Times New Roman"/>
          <w:sz w:val="24"/>
          <w:szCs w:val="24"/>
        </w:rPr>
        <w:t xml:space="preserve"> Claudia Cogliser (Graduate School), Kelley Coleman (International Affairs), Pat DeLucia (VPR), Jerod Fost</w:t>
      </w:r>
      <w:r w:rsidR="00AF0B57" w:rsidRPr="00432530">
        <w:rPr>
          <w:rFonts w:ascii="Times New Roman" w:hAnsi="Times New Roman" w:cs="Times New Roman"/>
          <w:sz w:val="24"/>
          <w:szCs w:val="24"/>
        </w:rPr>
        <w:t xml:space="preserve">er (Media &amp; Communications), </w:t>
      </w:r>
      <w:r w:rsidR="00B01D49" w:rsidRPr="00432530">
        <w:rPr>
          <w:rFonts w:ascii="Times New Roman" w:hAnsi="Times New Roman" w:cs="Times New Roman"/>
          <w:sz w:val="24"/>
          <w:szCs w:val="24"/>
        </w:rPr>
        <w:t>Jacqueline Henninge</w:t>
      </w:r>
      <w:r w:rsidR="00AF0B57" w:rsidRPr="00432530">
        <w:rPr>
          <w:rFonts w:ascii="Times New Roman" w:hAnsi="Times New Roman" w:cs="Times New Roman"/>
          <w:sz w:val="24"/>
          <w:szCs w:val="24"/>
        </w:rPr>
        <w:t>r (Visual &amp; Performing Arts),</w:t>
      </w:r>
      <w:r w:rsidRPr="00432530">
        <w:rPr>
          <w:rFonts w:ascii="Times New Roman" w:hAnsi="Times New Roman" w:cs="Times New Roman"/>
          <w:sz w:val="24"/>
          <w:szCs w:val="24"/>
        </w:rPr>
        <w:t xml:space="preserve"> Scott Longing (CASNR), </w:t>
      </w:r>
      <w:r w:rsidR="00B01D49" w:rsidRPr="00432530">
        <w:rPr>
          <w:rFonts w:ascii="Times New Roman" w:hAnsi="Times New Roman" w:cs="Times New Roman"/>
          <w:sz w:val="24"/>
          <w:szCs w:val="24"/>
        </w:rPr>
        <w:t xml:space="preserve">Steven Maxner (Vietnam Center), Craig Morton (OPA), </w:t>
      </w:r>
      <w:r w:rsidR="00AF0B57" w:rsidRPr="00432530">
        <w:rPr>
          <w:rFonts w:ascii="Times New Roman" w:hAnsi="Times New Roman" w:cs="Times New Roman"/>
          <w:sz w:val="24"/>
          <w:szCs w:val="24"/>
        </w:rPr>
        <w:t>Nicky Ladki</w:t>
      </w:r>
      <w:r w:rsidR="00F34885" w:rsidRPr="00432530">
        <w:rPr>
          <w:rFonts w:ascii="Times New Roman" w:hAnsi="Times New Roman" w:cs="Times New Roman"/>
          <w:sz w:val="24"/>
          <w:szCs w:val="24"/>
        </w:rPr>
        <w:t>n (Museum), Otto Ratheal (eL</w:t>
      </w:r>
      <w:r w:rsidR="00AF0B57" w:rsidRPr="00432530">
        <w:rPr>
          <w:rFonts w:ascii="Times New Roman" w:hAnsi="Times New Roman" w:cs="Times New Roman"/>
          <w:sz w:val="24"/>
          <w:szCs w:val="24"/>
        </w:rPr>
        <w:t>earning)</w:t>
      </w:r>
      <w:r w:rsidR="00B82D41">
        <w:rPr>
          <w:rFonts w:ascii="Times New Roman" w:hAnsi="Times New Roman" w:cs="Times New Roman"/>
          <w:sz w:val="24"/>
          <w:szCs w:val="24"/>
        </w:rPr>
        <w:t>, Venki Uddameri (Engineering)</w:t>
      </w:r>
    </w:p>
    <w:p w:rsidR="00545F9C" w:rsidRPr="00432530" w:rsidRDefault="00F34885" w:rsidP="00545F9C">
      <w:pPr>
        <w:jc w:val="both"/>
        <w:rPr>
          <w:rFonts w:ascii="Times New Roman" w:hAnsi="Times New Roman" w:cs="Times New Roman"/>
          <w:sz w:val="24"/>
          <w:szCs w:val="24"/>
        </w:rPr>
      </w:pPr>
      <w:r w:rsidRPr="00432530">
        <w:rPr>
          <w:rFonts w:ascii="Times New Roman" w:hAnsi="Times New Roman" w:cs="Times New Roman"/>
          <w:b/>
          <w:sz w:val="24"/>
          <w:szCs w:val="24"/>
        </w:rPr>
        <w:t>Absent:</w:t>
      </w:r>
      <w:r w:rsidR="00545F9C" w:rsidRPr="00432530">
        <w:rPr>
          <w:rFonts w:ascii="Times New Roman" w:hAnsi="Times New Roman" w:cs="Times New Roman"/>
          <w:i/>
          <w:sz w:val="24"/>
          <w:szCs w:val="24"/>
        </w:rPr>
        <w:t xml:space="preserve"> </w:t>
      </w:r>
      <w:r w:rsidR="00545F9C" w:rsidRPr="00432530">
        <w:rPr>
          <w:rFonts w:ascii="Times New Roman" w:hAnsi="Times New Roman" w:cs="Times New Roman"/>
          <w:sz w:val="24"/>
          <w:szCs w:val="24"/>
        </w:rPr>
        <w:t>Dustin Benham (Law), Gary Elbow (Honors College), Paul Frazier (Diversity, Equity, and Community Engagement), Robin Lock (Education), Laura Heinz (Libraries), Justin Louder (eLearning), Andrew Vernooy (Architecture).</w:t>
      </w:r>
    </w:p>
    <w:p w:rsidR="00496C38" w:rsidRPr="00432530" w:rsidRDefault="00027679" w:rsidP="00F6273A">
      <w:pPr>
        <w:rPr>
          <w:rFonts w:ascii="Times New Roman" w:hAnsi="Times New Roman" w:cs="Times New Roman"/>
          <w:sz w:val="24"/>
          <w:szCs w:val="24"/>
        </w:rPr>
      </w:pPr>
      <w:r w:rsidRPr="00432530">
        <w:rPr>
          <w:rFonts w:ascii="Times New Roman" w:hAnsi="Times New Roman" w:cs="Times New Roman"/>
          <w:sz w:val="24"/>
          <w:szCs w:val="24"/>
        </w:rPr>
        <w:t>The meeting was cal</w:t>
      </w:r>
      <w:r w:rsidR="00285904">
        <w:rPr>
          <w:rFonts w:ascii="Times New Roman" w:hAnsi="Times New Roman" w:cs="Times New Roman"/>
          <w:sz w:val="24"/>
          <w:szCs w:val="24"/>
        </w:rPr>
        <w:t xml:space="preserve">led to order at 2:30 p.m.  </w:t>
      </w:r>
      <w:r w:rsidR="00B82D41">
        <w:rPr>
          <w:rFonts w:ascii="Times New Roman" w:hAnsi="Times New Roman" w:cs="Times New Roman"/>
          <w:sz w:val="24"/>
          <w:szCs w:val="24"/>
        </w:rPr>
        <w:t xml:space="preserve">Dr. </w:t>
      </w:r>
      <w:r w:rsidRPr="00432530">
        <w:rPr>
          <w:rFonts w:ascii="Times New Roman" w:hAnsi="Times New Roman" w:cs="Times New Roman"/>
          <w:sz w:val="24"/>
          <w:szCs w:val="24"/>
        </w:rPr>
        <w:t>Green provided the welc</w:t>
      </w:r>
      <w:r w:rsidR="00285904">
        <w:rPr>
          <w:rFonts w:ascii="Times New Roman" w:hAnsi="Times New Roman" w:cs="Times New Roman"/>
          <w:sz w:val="24"/>
          <w:szCs w:val="24"/>
        </w:rPr>
        <w:t xml:space="preserve">ome followed by introductions.  </w:t>
      </w:r>
      <w:r w:rsidRPr="00432530">
        <w:rPr>
          <w:rFonts w:ascii="Times New Roman" w:hAnsi="Times New Roman" w:cs="Times New Roman"/>
          <w:sz w:val="24"/>
          <w:szCs w:val="24"/>
        </w:rPr>
        <w:t>Craig Morton from the Offi</w:t>
      </w:r>
      <w:r w:rsidR="00285904">
        <w:rPr>
          <w:rFonts w:ascii="Times New Roman" w:hAnsi="Times New Roman" w:cs="Times New Roman"/>
          <w:sz w:val="24"/>
          <w:szCs w:val="24"/>
        </w:rPr>
        <w:t xml:space="preserve">ce of Planning and Assessment </w:t>
      </w:r>
      <w:r w:rsidR="00960E7C">
        <w:rPr>
          <w:rFonts w:ascii="Times New Roman" w:hAnsi="Times New Roman" w:cs="Times New Roman"/>
          <w:sz w:val="24"/>
          <w:szCs w:val="24"/>
        </w:rPr>
        <w:t xml:space="preserve">(OPA) </w:t>
      </w:r>
      <w:r w:rsidR="00285904">
        <w:rPr>
          <w:rFonts w:ascii="Times New Roman" w:hAnsi="Times New Roman" w:cs="Times New Roman"/>
          <w:sz w:val="24"/>
          <w:szCs w:val="24"/>
        </w:rPr>
        <w:t>then</w:t>
      </w:r>
      <w:r w:rsidRPr="00432530">
        <w:rPr>
          <w:rFonts w:ascii="Times New Roman" w:hAnsi="Times New Roman" w:cs="Times New Roman"/>
          <w:sz w:val="24"/>
          <w:szCs w:val="24"/>
        </w:rPr>
        <w:t xml:space="preserve"> p</w:t>
      </w:r>
      <w:r w:rsidR="00285904">
        <w:rPr>
          <w:rFonts w:ascii="Times New Roman" w:hAnsi="Times New Roman" w:cs="Times New Roman"/>
          <w:sz w:val="24"/>
          <w:szCs w:val="24"/>
        </w:rPr>
        <w:t>resented</w:t>
      </w:r>
      <w:r w:rsidRPr="00432530">
        <w:rPr>
          <w:rFonts w:ascii="Times New Roman" w:hAnsi="Times New Roman" w:cs="Times New Roman"/>
          <w:sz w:val="24"/>
          <w:szCs w:val="24"/>
        </w:rPr>
        <w:t xml:space="preserve"> </w:t>
      </w:r>
      <w:r w:rsidR="00432530">
        <w:rPr>
          <w:rFonts w:ascii="Times New Roman" w:hAnsi="Times New Roman" w:cs="Times New Roman"/>
          <w:sz w:val="24"/>
          <w:szCs w:val="24"/>
        </w:rPr>
        <w:t xml:space="preserve">a dashboard </w:t>
      </w:r>
      <w:r w:rsidR="00B32D21">
        <w:rPr>
          <w:rFonts w:ascii="Times New Roman" w:hAnsi="Times New Roman" w:cs="Times New Roman"/>
          <w:sz w:val="24"/>
          <w:szCs w:val="24"/>
        </w:rPr>
        <w:t>summarizing</w:t>
      </w:r>
      <w:r w:rsidR="00960E7C">
        <w:rPr>
          <w:rFonts w:ascii="Times New Roman" w:hAnsi="Times New Roman" w:cs="Times New Roman"/>
          <w:sz w:val="24"/>
          <w:szCs w:val="24"/>
        </w:rPr>
        <w:t xml:space="preserve"> </w:t>
      </w:r>
      <w:r w:rsidR="00B32D21">
        <w:rPr>
          <w:rFonts w:ascii="Times New Roman" w:hAnsi="Times New Roman" w:cs="Times New Roman"/>
          <w:sz w:val="24"/>
          <w:szCs w:val="24"/>
        </w:rPr>
        <w:t xml:space="preserve">institution wide engagement data as reported by Texas Tech </w:t>
      </w:r>
      <w:r w:rsidR="00496C38" w:rsidRPr="00432530">
        <w:rPr>
          <w:rFonts w:ascii="Times New Roman" w:hAnsi="Times New Roman" w:cs="Times New Roman"/>
          <w:sz w:val="24"/>
          <w:szCs w:val="24"/>
        </w:rPr>
        <w:t xml:space="preserve">faculty and staff </w:t>
      </w:r>
      <w:r w:rsidR="00B32D21">
        <w:rPr>
          <w:rFonts w:ascii="Times New Roman" w:hAnsi="Times New Roman" w:cs="Times New Roman"/>
          <w:sz w:val="24"/>
          <w:szCs w:val="24"/>
        </w:rPr>
        <w:t>in the 2015 Raiders Engaged survey</w:t>
      </w:r>
      <w:r w:rsidR="00960E7C">
        <w:rPr>
          <w:rFonts w:ascii="Times New Roman" w:hAnsi="Times New Roman" w:cs="Times New Roman"/>
          <w:sz w:val="24"/>
          <w:szCs w:val="24"/>
        </w:rPr>
        <w:t xml:space="preserve"> (see attached)</w:t>
      </w:r>
      <w:r w:rsidR="00496C38" w:rsidRPr="00432530">
        <w:rPr>
          <w:rFonts w:ascii="Times New Roman" w:hAnsi="Times New Roman" w:cs="Times New Roman"/>
          <w:sz w:val="24"/>
          <w:szCs w:val="24"/>
        </w:rPr>
        <w:t xml:space="preserve">. </w:t>
      </w:r>
      <w:r w:rsidR="00960E7C">
        <w:rPr>
          <w:rFonts w:ascii="Times New Roman" w:hAnsi="Times New Roman" w:cs="Times New Roman"/>
          <w:sz w:val="24"/>
          <w:szCs w:val="24"/>
        </w:rPr>
        <w:t xml:space="preserve">The dashboard </w:t>
      </w:r>
      <w:r w:rsidR="00B32D21">
        <w:rPr>
          <w:rFonts w:ascii="Times New Roman" w:hAnsi="Times New Roman" w:cs="Times New Roman"/>
          <w:sz w:val="24"/>
          <w:szCs w:val="24"/>
        </w:rPr>
        <w:t xml:space="preserve">highlighted </w:t>
      </w:r>
      <w:r w:rsidR="00960E7C">
        <w:rPr>
          <w:rFonts w:ascii="Times New Roman" w:hAnsi="Times New Roman" w:cs="Times New Roman"/>
          <w:sz w:val="24"/>
          <w:szCs w:val="24"/>
        </w:rPr>
        <w:t>type and number of projects conducted, type and nu</w:t>
      </w:r>
      <w:r w:rsidR="00B32D21">
        <w:rPr>
          <w:rFonts w:ascii="Times New Roman" w:hAnsi="Times New Roman" w:cs="Times New Roman"/>
          <w:sz w:val="24"/>
          <w:szCs w:val="24"/>
        </w:rPr>
        <w:t xml:space="preserve">mber of populations served, </w:t>
      </w:r>
      <w:r w:rsidR="00960E7C">
        <w:rPr>
          <w:rFonts w:ascii="Times New Roman" w:hAnsi="Times New Roman" w:cs="Times New Roman"/>
          <w:sz w:val="24"/>
          <w:szCs w:val="24"/>
        </w:rPr>
        <w:t>geographic location</w:t>
      </w:r>
      <w:r w:rsidR="00B32D21">
        <w:rPr>
          <w:rFonts w:ascii="Times New Roman" w:hAnsi="Times New Roman" w:cs="Times New Roman"/>
          <w:sz w:val="24"/>
          <w:szCs w:val="24"/>
        </w:rPr>
        <w:t>s</w:t>
      </w:r>
      <w:r w:rsidR="00960E7C">
        <w:rPr>
          <w:rFonts w:ascii="Times New Roman" w:hAnsi="Times New Roman" w:cs="Times New Roman"/>
          <w:sz w:val="24"/>
          <w:szCs w:val="24"/>
        </w:rPr>
        <w:t xml:space="preserve"> of activities,</w:t>
      </w:r>
      <w:r w:rsidR="00B32D21">
        <w:rPr>
          <w:rFonts w:ascii="Times New Roman" w:hAnsi="Times New Roman" w:cs="Times New Roman"/>
          <w:sz w:val="24"/>
          <w:szCs w:val="24"/>
        </w:rPr>
        <w:t xml:space="preserve"> and </w:t>
      </w:r>
      <w:r w:rsidR="00960E7C">
        <w:rPr>
          <w:rFonts w:ascii="Times New Roman" w:hAnsi="Times New Roman" w:cs="Times New Roman"/>
          <w:sz w:val="24"/>
          <w:szCs w:val="24"/>
        </w:rPr>
        <w:t>total number of faculty and staff hours spent on outreach and engagement activities</w:t>
      </w:r>
      <w:r w:rsidR="00B32D21">
        <w:rPr>
          <w:rFonts w:ascii="Times New Roman" w:hAnsi="Times New Roman" w:cs="Times New Roman"/>
          <w:sz w:val="24"/>
          <w:szCs w:val="24"/>
        </w:rPr>
        <w:t xml:space="preserve"> across the institution</w:t>
      </w:r>
      <w:r w:rsidR="00A47056">
        <w:rPr>
          <w:rFonts w:ascii="Times New Roman" w:hAnsi="Times New Roman" w:cs="Times New Roman"/>
          <w:sz w:val="24"/>
          <w:szCs w:val="24"/>
        </w:rPr>
        <w:t xml:space="preserve">.  </w:t>
      </w:r>
      <w:r w:rsidR="00960E7C">
        <w:rPr>
          <w:rFonts w:ascii="Times New Roman" w:hAnsi="Times New Roman" w:cs="Times New Roman"/>
          <w:sz w:val="24"/>
          <w:szCs w:val="24"/>
        </w:rPr>
        <w:t xml:space="preserve">OPA </w:t>
      </w:r>
      <w:r w:rsidR="007B1082">
        <w:rPr>
          <w:rFonts w:ascii="Times New Roman" w:hAnsi="Times New Roman" w:cs="Times New Roman"/>
          <w:sz w:val="24"/>
          <w:szCs w:val="24"/>
        </w:rPr>
        <w:t xml:space="preserve">also </w:t>
      </w:r>
      <w:r w:rsidR="00960E7C">
        <w:rPr>
          <w:rFonts w:ascii="Times New Roman" w:hAnsi="Times New Roman" w:cs="Times New Roman"/>
          <w:sz w:val="24"/>
          <w:szCs w:val="24"/>
        </w:rPr>
        <w:t xml:space="preserve">created individual dashboards </w:t>
      </w:r>
      <w:r w:rsidR="007B1082">
        <w:rPr>
          <w:rFonts w:ascii="Times New Roman" w:hAnsi="Times New Roman" w:cs="Times New Roman"/>
          <w:sz w:val="24"/>
          <w:szCs w:val="24"/>
        </w:rPr>
        <w:t>broken out by college and school</w:t>
      </w:r>
      <w:r w:rsidR="00A47056">
        <w:rPr>
          <w:rFonts w:ascii="Times New Roman" w:hAnsi="Times New Roman" w:cs="Times New Roman"/>
          <w:sz w:val="24"/>
          <w:szCs w:val="24"/>
        </w:rPr>
        <w:t>,</w:t>
      </w:r>
      <w:r w:rsidR="007B1082">
        <w:rPr>
          <w:rFonts w:ascii="Times New Roman" w:hAnsi="Times New Roman" w:cs="Times New Roman"/>
          <w:sz w:val="24"/>
          <w:szCs w:val="24"/>
        </w:rPr>
        <w:t xml:space="preserve"> and </w:t>
      </w:r>
      <w:r w:rsidR="00A47056">
        <w:rPr>
          <w:rFonts w:ascii="Times New Roman" w:hAnsi="Times New Roman" w:cs="Times New Roman"/>
          <w:sz w:val="24"/>
          <w:szCs w:val="24"/>
        </w:rPr>
        <w:t xml:space="preserve">each committee member received a copy containing the data for </w:t>
      </w:r>
      <w:r w:rsidR="007B1082">
        <w:rPr>
          <w:rFonts w:ascii="Times New Roman" w:hAnsi="Times New Roman" w:cs="Times New Roman"/>
          <w:sz w:val="24"/>
          <w:szCs w:val="24"/>
        </w:rPr>
        <w:t xml:space="preserve">their </w:t>
      </w:r>
      <w:r w:rsidR="00A47056">
        <w:rPr>
          <w:rFonts w:ascii="Times New Roman" w:hAnsi="Times New Roman" w:cs="Times New Roman"/>
          <w:sz w:val="24"/>
          <w:szCs w:val="24"/>
        </w:rPr>
        <w:t xml:space="preserve">respective area. </w:t>
      </w:r>
      <w:r w:rsidR="007B1082">
        <w:rPr>
          <w:rFonts w:ascii="Times New Roman" w:hAnsi="Times New Roman" w:cs="Times New Roman"/>
          <w:sz w:val="24"/>
          <w:szCs w:val="24"/>
        </w:rPr>
        <w:t xml:space="preserve">Craig </w:t>
      </w:r>
      <w:r w:rsidR="00960E7C">
        <w:rPr>
          <w:rFonts w:ascii="Times New Roman" w:hAnsi="Times New Roman" w:cs="Times New Roman"/>
          <w:sz w:val="24"/>
          <w:szCs w:val="24"/>
        </w:rPr>
        <w:t>noted th</w:t>
      </w:r>
      <w:r w:rsidR="00377E5E">
        <w:rPr>
          <w:rFonts w:ascii="Times New Roman" w:hAnsi="Times New Roman" w:cs="Times New Roman"/>
          <w:sz w:val="24"/>
          <w:szCs w:val="24"/>
        </w:rPr>
        <w:t xml:space="preserve">at data reported by </w:t>
      </w:r>
      <w:r w:rsidR="00960E7C">
        <w:rPr>
          <w:rFonts w:ascii="Times New Roman" w:hAnsi="Times New Roman" w:cs="Times New Roman"/>
          <w:sz w:val="24"/>
          <w:szCs w:val="24"/>
        </w:rPr>
        <w:t>administrative units was pooled together</w:t>
      </w:r>
      <w:r w:rsidR="002B5E5D">
        <w:rPr>
          <w:rFonts w:ascii="Times New Roman" w:hAnsi="Times New Roman" w:cs="Times New Roman"/>
          <w:sz w:val="24"/>
          <w:szCs w:val="24"/>
        </w:rPr>
        <w:t xml:space="preserve">.  </w:t>
      </w:r>
      <w:r w:rsidR="00960E7C">
        <w:rPr>
          <w:rFonts w:ascii="Times New Roman" w:hAnsi="Times New Roman" w:cs="Times New Roman"/>
          <w:sz w:val="24"/>
          <w:szCs w:val="24"/>
        </w:rPr>
        <w:t xml:space="preserve">Several representatives in the room expressed an interest in receiving their specific administrative unit’s data.  </w:t>
      </w:r>
      <w:r w:rsidR="007B1082">
        <w:rPr>
          <w:rFonts w:ascii="Times New Roman" w:hAnsi="Times New Roman" w:cs="Times New Roman"/>
          <w:sz w:val="24"/>
          <w:szCs w:val="24"/>
        </w:rPr>
        <w:t xml:space="preserve">Some committee members were also interested in receiving further break-down of college level data by departments.  </w:t>
      </w:r>
      <w:r w:rsidR="00960E7C">
        <w:rPr>
          <w:rFonts w:ascii="Times New Roman" w:hAnsi="Times New Roman" w:cs="Times New Roman"/>
          <w:sz w:val="24"/>
          <w:szCs w:val="24"/>
        </w:rPr>
        <w:t xml:space="preserve">Craig noted that OPA </w:t>
      </w:r>
      <w:r w:rsidR="007B1082">
        <w:rPr>
          <w:rFonts w:ascii="Times New Roman" w:hAnsi="Times New Roman" w:cs="Times New Roman"/>
          <w:sz w:val="24"/>
          <w:szCs w:val="24"/>
        </w:rPr>
        <w:t xml:space="preserve">could provide data broken out by reporting departments as well as administrative units.  </w:t>
      </w:r>
    </w:p>
    <w:p w:rsidR="00A41B15" w:rsidRDefault="002B5E5D" w:rsidP="00F6273A">
      <w:pPr>
        <w:rPr>
          <w:rFonts w:ascii="Times New Roman" w:hAnsi="Times New Roman" w:cs="Times New Roman"/>
          <w:sz w:val="24"/>
          <w:szCs w:val="24"/>
        </w:rPr>
      </w:pPr>
      <w:r>
        <w:rPr>
          <w:rFonts w:ascii="Times New Roman" w:hAnsi="Times New Roman" w:cs="Times New Roman"/>
          <w:sz w:val="24"/>
          <w:szCs w:val="24"/>
        </w:rPr>
        <w:t>Birgit</w:t>
      </w:r>
      <w:r w:rsidR="005E3CDC" w:rsidRPr="00432530">
        <w:rPr>
          <w:rFonts w:ascii="Times New Roman" w:hAnsi="Times New Roman" w:cs="Times New Roman"/>
          <w:sz w:val="24"/>
          <w:szCs w:val="24"/>
        </w:rPr>
        <w:t xml:space="preserve"> </w:t>
      </w:r>
      <w:r>
        <w:rPr>
          <w:rFonts w:ascii="Times New Roman" w:hAnsi="Times New Roman" w:cs="Times New Roman"/>
          <w:sz w:val="24"/>
          <w:szCs w:val="24"/>
        </w:rPr>
        <w:t>noted</w:t>
      </w:r>
      <w:r w:rsidR="005E3CDC" w:rsidRPr="00432530">
        <w:rPr>
          <w:rFonts w:ascii="Times New Roman" w:hAnsi="Times New Roman" w:cs="Times New Roman"/>
          <w:sz w:val="24"/>
          <w:szCs w:val="24"/>
        </w:rPr>
        <w:t xml:space="preserve"> that </w:t>
      </w:r>
      <w:r w:rsidR="007B1082">
        <w:rPr>
          <w:rFonts w:ascii="Times New Roman" w:hAnsi="Times New Roman" w:cs="Times New Roman"/>
          <w:sz w:val="24"/>
          <w:szCs w:val="24"/>
        </w:rPr>
        <w:t>the break-down by unit or departments</w:t>
      </w:r>
      <w:r w:rsidR="00B344A3" w:rsidRPr="00432530">
        <w:rPr>
          <w:rFonts w:ascii="Times New Roman" w:hAnsi="Times New Roman" w:cs="Times New Roman"/>
          <w:sz w:val="24"/>
          <w:szCs w:val="24"/>
        </w:rPr>
        <w:t xml:space="preserve"> would </w:t>
      </w:r>
      <w:r>
        <w:rPr>
          <w:rFonts w:ascii="Times New Roman" w:hAnsi="Times New Roman" w:cs="Times New Roman"/>
          <w:sz w:val="24"/>
          <w:szCs w:val="24"/>
        </w:rPr>
        <w:t xml:space="preserve">be </w:t>
      </w:r>
      <w:r w:rsidR="00B344A3" w:rsidRPr="00432530">
        <w:rPr>
          <w:rFonts w:ascii="Times New Roman" w:hAnsi="Times New Roman" w:cs="Times New Roman"/>
          <w:sz w:val="24"/>
          <w:szCs w:val="24"/>
        </w:rPr>
        <w:t>help</w:t>
      </w:r>
      <w:r>
        <w:rPr>
          <w:rFonts w:ascii="Times New Roman" w:hAnsi="Times New Roman" w:cs="Times New Roman"/>
          <w:sz w:val="24"/>
          <w:szCs w:val="24"/>
        </w:rPr>
        <w:t>ful in</w:t>
      </w:r>
      <w:r w:rsidR="00B344A3" w:rsidRPr="00432530">
        <w:rPr>
          <w:rFonts w:ascii="Times New Roman" w:hAnsi="Times New Roman" w:cs="Times New Roman"/>
          <w:sz w:val="24"/>
          <w:szCs w:val="24"/>
        </w:rPr>
        <w:t xml:space="preserve"> </w:t>
      </w:r>
      <w:r w:rsidR="006B5B6A" w:rsidRPr="00432530">
        <w:rPr>
          <w:rFonts w:ascii="Times New Roman" w:hAnsi="Times New Roman" w:cs="Times New Roman"/>
          <w:sz w:val="24"/>
          <w:szCs w:val="24"/>
        </w:rPr>
        <w:t>identify</w:t>
      </w:r>
      <w:r>
        <w:rPr>
          <w:rFonts w:ascii="Times New Roman" w:hAnsi="Times New Roman" w:cs="Times New Roman"/>
          <w:sz w:val="24"/>
          <w:szCs w:val="24"/>
        </w:rPr>
        <w:t>ing</w:t>
      </w:r>
      <w:r w:rsidR="00B344A3" w:rsidRPr="00432530">
        <w:rPr>
          <w:rFonts w:ascii="Times New Roman" w:hAnsi="Times New Roman" w:cs="Times New Roman"/>
          <w:sz w:val="24"/>
          <w:szCs w:val="24"/>
        </w:rPr>
        <w:t xml:space="preserve"> those </w:t>
      </w:r>
      <w:r w:rsidR="007B1082">
        <w:rPr>
          <w:rFonts w:ascii="Times New Roman" w:hAnsi="Times New Roman" w:cs="Times New Roman"/>
          <w:sz w:val="24"/>
          <w:szCs w:val="24"/>
        </w:rPr>
        <w:t xml:space="preserve">areas whose </w:t>
      </w:r>
      <w:r w:rsidR="00B344A3" w:rsidRPr="00432530">
        <w:rPr>
          <w:rFonts w:ascii="Times New Roman" w:hAnsi="Times New Roman" w:cs="Times New Roman"/>
          <w:sz w:val="24"/>
          <w:szCs w:val="24"/>
        </w:rPr>
        <w:t xml:space="preserve">activities </w:t>
      </w:r>
      <w:r w:rsidR="007B1082">
        <w:rPr>
          <w:rFonts w:ascii="Times New Roman" w:hAnsi="Times New Roman" w:cs="Times New Roman"/>
          <w:sz w:val="24"/>
          <w:szCs w:val="24"/>
        </w:rPr>
        <w:t xml:space="preserve">are currently </w:t>
      </w:r>
      <w:r>
        <w:rPr>
          <w:rFonts w:ascii="Times New Roman" w:hAnsi="Times New Roman" w:cs="Times New Roman"/>
          <w:sz w:val="24"/>
          <w:szCs w:val="24"/>
        </w:rPr>
        <w:t>missing</w:t>
      </w:r>
      <w:r w:rsidR="007B1082">
        <w:rPr>
          <w:rFonts w:ascii="Times New Roman" w:hAnsi="Times New Roman" w:cs="Times New Roman"/>
          <w:sz w:val="24"/>
          <w:szCs w:val="24"/>
        </w:rPr>
        <w:t xml:space="preserve"> in Raiders Engaged</w:t>
      </w:r>
      <w:r w:rsidR="00B344A3" w:rsidRPr="00432530">
        <w:rPr>
          <w:rFonts w:ascii="Times New Roman" w:hAnsi="Times New Roman" w:cs="Times New Roman"/>
          <w:sz w:val="24"/>
          <w:szCs w:val="24"/>
        </w:rPr>
        <w:t xml:space="preserve">. Steve Maxner </w:t>
      </w:r>
      <w:r w:rsidR="007B1082">
        <w:rPr>
          <w:rFonts w:ascii="Times New Roman" w:hAnsi="Times New Roman" w:cs="Times New Roman"/>
          <w:sz w:val="24"/>
          <w:szCs w:val="24"/>
        </w:rPr>
        <w:t xml:space="preserve">also </w:t>
      </w:r>
      <w:r w:rsidR="00B344A3" w:rsidRPr="00432530">
        <w:rPr>
          <w:rFonts w:ascii="Times New Roman" w:hAnsi="Times New Roman" w:cs="Times New Roman"/>
          <w:sz w:val="24"/>
          <w:szCs w:val="24"/>
        </w:rPr>
        <w:t xml:space="preserve">pointed out that </w:t>
      </w:r>
      <w:r w:rsidR="00CD0401" w:rsidRPr="00432530">
        <w:rPr>
          <w:rFonts w:ascii="Times New Roman" w:hAnsi="Times New Roman" w:cs="Times New Roman"/>
          <w:sz w:val="24"/>
          <w:szCs w:val="24"/>
        </w:rPr>
        <w:t>the breakdown</w:t>
      </w:r>
      <w:r w:rsidR="00B344A3" w:rsidRPr="00432530">
        <w:rPr>
          <w:rFonts w:ascii="Times New Roman" w:hAnsi="Times New Roman" w:cs="Times New Roman"/>
          <w:sz w:val="24"/>
          <w:szCs w:val="24"/>
        </w:rPr>
        <w:t xml:space="preserve"> could be </w:t>
      </w:r>
      <w:r w:rsidR="00CD0401" w:rsidRPr="00432530">
        <w:rPr>
          <w:rFonts w:ascii="Times New Roman" w:hAnsi="Times New Roman" w:cs="Times New Roman"/>
          <w:sz w:val="24"/>
          <w:szCs w:val="24"/>
        </w:rPr>
        <w:t xml:space="preserve">useful </w:t>
      </w:r>
      <w:r>
        <w:rPr>
          <w:rFonts w:ascii="Times New Roman" w:hAnsi="Times New Roman" w:cs="Times New Roman"/>
          <w:sz w:val="24"/>
          <w:szCs w:val="24"/>
        </w:rPr>
        <w:t>for</w:t>
      </w:r>
      <w:r w:rsidR="00CD0401" w:rsidRPr="00432530">
        <w:rPr>
          <w:rFonts w:ascii="Times New Roman" w:hAnsi="Times New Roman" w:cs="Times New Roman"/>
          <w:sz w:val="24"/>
          <w:szCs w:val="24"/>
        </w:rPr>
        <w:t xml:space="preserve"> the next survey</w:t>
      </w:r>
      <w:r w:rsidR="005E4D22" w:rsidRPr="00432530">
        <w:rPr>
          <w:rFonts w:ascii="Times New Roman" w:hAnsi="Times New Roman" w:cs="Times New Roman"/>
          <w:sz w:val="24"/>
          <w:szCs w:val="24"/>
        </w:rPr>
        <w:t>.</w:t>
      </w:r>
      <w:r w:rsidR="00646599" w:rsidRPr="00432530">
        <w:rPr>
          <w:rFonts w:ascii="Times New Roman" w:hAnsi="Times New Roman" w:cs="Times New Roman"/>
          <w:sz w:val="24"/>
          <w:szCs w:val="24"/>
        </w:rPr>
        <w:t xml:space="preserve"> Sara Dodd</w:t>
      </w:r>
      <w:r w:rsidR="005E4D22" w:rsidRPr="00432530">
        <w:rPr>
          <w:rFonts w:ascii="Times New Roman" w:hAnsi="Times New Roman" w:cs="Times New Roman"/>
          <w:sz w:val="24"/>
          <w:szCs w:val="24"/>
        </w:rPr>
        <w:t xml:space="preserve"> </w:t>
      </w:r>
      <w:r w:rsidR="007B1082">
        <w:rPr>
          <w:rFonts w:ascii="Times New Roman" w:hAnsi="Times New Roman" w:cs="Times New Roman"/>
          <w:sz w:val="24"/>
          <w:szCs w:val="24"/>
        </w:rPr>
        <w:t>asked</w:t>
      </w:r>
      <w:r w:rsidR="00F27B05" w:rsidRPr="00432530">
        <w:rPr>
          <w:rFonts w:ascii="Times New Roman" w:hAnsi="Times New Roman" w:cs="Times New Roman"/>
          <w:sz w:val="24"/>
          <w:szCs w:val="24"/>
        </w:rPr>
        <w:t xml:space="preserve"> about</w:t>
      </w:r>
      <w:r w:rsidR="006B5B6A" w:rsidRPr="00432530">
        <w:rPr>
          <w:rFonts w:ascii="Times New Roman" w:hAnsi="Times New Roman" w:cs="Times New Roman"/>
          <w:sz w:val="24"/>
          <w:szCs w:val="24"/>
        </w:rPr>
        <w:t xml:space="preserve"> the availability of funding </w:t>
      </w:r>
      <w:r w:rsidR="00B33FEF" w:rsidRPr="00432530">
        <w:rPr>
          <w:rFonts w:ascii="Times New Roman" w:hAnsi="Times New Roman" w:cs="Times New Roman"/>
          <w:sz w:val="24"/>
          <w:szCs w:val="24"/>
        </w:rPr>
        <w:t>bre</w:t>
      </w:r>
      <w:r w:rsidR="006B5B6A" w:rsidRPr="00432530">
        <w:rPr>
          <w:rFonts w:ascii="Times New Roman" w:hAnsi="Times New Roman" w:cs="Times New Roman"/>
          <w:sz w:val="24"/>
          <w:szCs w:val="24"/>
        </w:rPr>
        <w:t>akdown</w:t>
      </w:r>
      <w:r w:rsidR="007B1082">
        <w:rPr>
          <w:rFonts w:ascii="Times New Roman" w:hAnsi="Times New Roman" w:cs="Times New Roman"/>
          <w:sz w:val="24"/>
          <w:szCs w:val="24"/>
        </w:rPr>
        <w:t>s</w:t>
      </w:r>
      <w:r w:rsidR="00B33FEF" w:rsidRPr="00432530">
        <w:rPr>
          <w:rFonts w:ascii="Times New Roman" w:hAnsi="Times New Roman" w:cs="Times New Roman"/>
          <w:sz w:val="24"/>
          <w:szCs w:val="24"/>
        </w:rPr>
        <w:t xml:space="preserve">. </w:t>
      </w:r>
      <w:r w:rsidR="007B1082">
        <w:rPr>
          <w:rFonts w:ascii="Times New Roman" w:hAnsi="Times New Roman" w:cs="Times New Roman"/>
          <w:sz w:val="24"/>
          <w:szCs w:val="24"/>
        </w:rPr>
        <w:t>Craig</w:t>
      </w:r>
      <w:r w:rsidR="005E4D22" w:rsidRPr="00432530">
        <w:rPr>
          <w:rFonts w:ascii="Times New Roman" w:hAnsi="Times New Roman" w:cs="Times New Roman"/>
          <w:sz w:val="24"/>
          <w:szCs w:val="24"/>
        </w:rPr>
        <w:t xml:space="preserve"> </w:t>
      </w:r>
      <w:r w:rsidR="00A41B15">
        <w:rPr>
          <w:rFonts w:ascii="Times New Roman" w:hAnsi="Times New Roman" w:cs="Times New Roman"/>
          <w:sz w:val="24"/>
          <w:szCs w:val="24"/>
        </w:rPr>
        <w:t>noted that the</w:t>
      </w:r>
      <w:r w:rsidR="00AC6D2A" w:rsidRPr="00432530">
        <w:rPr>
          <w:rFonts w:ascii="Times New Roman" w:hAnsi="Times New Roman" w:cs="Times New Roman"/>
          <w:sz w:val="24"/>
          <w:szCs w:val="24"/>
        </w:rPr>
        <w:t xml:space="preserve"> full report </w:t>
      </w:r>
      <w:r w:rsidR="00A41B15">
        <w:rPr>
          <w:rFonts w:ascii="Times New Roman" w:hAnsi="Times New Roman" w:cs="Times New Roman"/>
          <w:sz w:val="24"/>
          <w:szCs w:val="24"/>
        </w:rPr>
        <w:t xml:space="preserve">of the results from the </w:t>
      </w:r>
      <w:r w:rsidR="00A41B15" w:rsidRPr="00A41B15">
        <w:rPr>
          <w:rFonts w:ascii="Times New Roman" w:hAnsi="Times New Roman" w:cs="Times New Roman"/>
          <w:i/>
          <w:sz w:val="24"/>
          <w:szCs w:val="24"/>
        </w:rPr>
        <w:t>2015 Raiders Engaged</w:t>
      </w:r>
      <w:r w:rsidR="00A41B15">
        <w:rPr>
          <w:rFonts w:ascii="Times New Roman" w:hAnsi="Times New Roman" w:cs="Times New Roman"/>
          <w:sz w:val="24"/>
          <w:szCs w:val="24"/>
        </w:rPr>
        <w:t xml:space="preserve"> administration will be published in April and will include more detailed </w:t>
      </w:r>
      <w:r>
        <w:rPr>
          <w:rFonts w:ascii="Times New Roman" w:hAnsi="Times New Roman" w:cs="Times New Roman"/>
          <w:sz w:val="24"/>
          <w:szCs w:val="24"/>
        </w:rPr>
        <w:t xml:space="preserve">information </w:t>
      </w:r>
      <w:r w:rsidR="00A41B15">
        <w:rPr>
          <w:rFonts w:ascii="Times New Roman" w:hAnsi="Times New Roman" w:cs="Times New Roman"/>
          <w:sz w:val="24"/>
          <w:szCs w:val="24"/>
        </w:rPr>
        <w:t xml:space="preserve">regarding sources of funding for engagement activities. </w:t>
      </w:r>
      <w:r w:rsidR="00B33FEF" w:rsidRPr="00432530">
        <w:rPr>
          <w:rFonts w:ascii="Times New Roman" w:hAnsi="Times New Roman" w:cs="Times New Roman"/>
          <w:sz w:val="24"/>
          <w:szCs w:val="24"/>
        </w:rPr>
        <w:t xml:space="preserve"> </w:t>
      </w:r>
    </w:p>
    <w:p w:rsidR="005E3CDC" w:rsidRPr="00432530" w:rsidRDefault="00A41B15" w:rsidP="00F6273A">
      <w:pPr>
        <w:rPr>
          <w:rFonts w:ascii="Times New Roman" w:hAnsi="Times New Roman" w:cs="Times New Roman"/>
          <w:sz w:val="24"/>
          <w:szCs w:val="24"/>
        </w:rPr>
      </w:pPr>
      <w:r>
        <w:rPr>
          <w:rFonts w:ascii="Times New Roman" w:hAnsi="Times New Roman" w:cs="Times New Roman"/>
          <w:sz w:val="24"/>
          <w:szCs w:val="24"/>
        </w:rPr>
        <w:t xml:space="preserve">Birgit mentioned that the goal for future administrations </w:t>
      </w:r>
      <w:r w:rsidR="002B5E5D">
        <w:rPr>
          <w:rFonts w:ascii="Times New Roman" w:hAnsi="Times New Roman" w:cs="Times New Roman"/>
          <w:sz w:val="24"/>
          <w:szCs w:val="24"/>
        </w:rPr>
        <w:t xml:space="preserve">of Raiders Engaged </w:t>
      </w:r>
      <w:r>
        <w:rPr>
          <w:rFonts w:ascii="Times New Roman" w:hAnsi="Times New Roman" w:cs="Times New Roman"/>
          <w:sz w:val="24"/>
          <w:szCs w:val="24"/>
        </w:rPr>
        <w:t xml:space="preserve">will be to </w:t>
      </w:r>
      <w:r w:rsidR="002B5E5D">
        <w:rPr>
          <w:rFonts w:ascii="Times New Roman" w:hAnsi="Times New Roman" w:cs="Times New Roman"/>
          <w:sz w:val="24"/>
          <w:szCs w:val="24"/>
        </w:rPr>
        <w:t>gain more accurate</w:t>
      </w:r>
      <w:r>
        <w:rPr>
          <w:rFonts w:ascii="Times New Roman" w:hAnsi="Times New Roman" w:cs="Times New Roman"/>
          <w:sz w:val="24"/>
          <w:szCs w:val="24"/>
        </w:rPr>
        <w:t xml:space="preserve"> </w:t>
      </w:r>
      <w:r w:rsidR="00B33FEF" w:rsidRPr="00432530">
        <w:rPr>
          <w:rFonts w:ascii="Times New Roman" w:hAnsi="Times New Roman" w:cs="Times New Roman"/>
          <w:sz w:val="24"/>
          <w:szCs w:val="24"/>
        </w:rPr>
        <w:t xml:space="preserve">funding information </w:t>
      </w:r>
      <w:r w:rsidR="002B5E5D">
        <w:rPr>
          <w:rFonts w:ascii="Times New Roman" w:hAnsi="Times New Roman" w:cs="Times New Roman"/>
          <w:sz w:val="24"/>
          <w:szCs w:val="24"/>
        </w:rPr>
        <w:t xml:space="preserve">through </w:t>
      </w:r>
      <w:r w:rsidR="00B33FEF" w:rsidRPr="00432530">
        <w:rPr>
          <w:rFonts w:ascii="Times New Roman" w:hAnsi="Times New Roman" w:cs="Times New Roman"/>
          <w:sz w:val="24"/>
          <w:szCs w:val="24"/>
        </w:rPr>
        <w:t>authenticated sources</w:t>
      </w:r>
      <w:r w:rsidR="002B5E5D">
        <w:rPr>
          <w:rFonts w:ascii="Times New Roman" w:hAnsi="Times New Roman" w:cs="Times New Roman"/>
          <w:sz w:val="24"/>
          <w:szCs w:val="24"/>
        </w:rPr>
        <w:t xml:space="preserve"> </w:t>
      </w:r>
      <w:r w:rsidR="00B33FEF" w:rsidRPr="00432530">
        <w:rPr>
          <w:rFonts w:ascii="Times New Roman" w:hAnsi="Times New Roman" w:cs="Times New Roman"/>
          <w:sz w:val="24"/>
          <w:szCs w:val="24"/>
        </w:rPr>
        <w:t>such as</w:t>
      </w:r>
      <w:r>
        <w:rPr>
          <w:rFonts w:ascii="Times New Roman" w:hAnsi="Times New Roman" w:cs="Times New Roman"/>
          <w:sz w:val="24"/>
          <w:szCs w:val="24"/>
        </w:rPr>
        <w:t xml:space="preserve"> Cayuse (</w:t>
      </w:r>
      <w:r w:rsidR="002B5E5D">
        <w:rPr>
          <w:rFonts w:ascii="Times New Roman" w:hAnsi="Times New Roman" w:cs="Times New Roman"/>
          <w:sz w:val="24"/>
          <w:szCs w:val="24"/>
        </w:rPr>
        <w:t>for grant</w:t>
      </w:r>
      <w:r>
        <w:rPr>
          <w:rFonts w:ascii="Times New Roman" w:hAnsi="Times New Roman" w:cs="Times New Roman"/>
          <w:sz w:val="24"/>
          <w:szCs w:val="24"/>
        </w:rPr>
        <w:t xml:space="preserve"> funded projects) and Indigo (for non-credit </w:t>
      </w:r>
      <w:r w:rsidR="002B5E5D">
        <w:rPr>
          <w:rFonts w:ascii="Times New Roman" w:hAnsi="Times New Roman" w:cs="Times New Roman"/>
          <w:sz w:val="24"/>
          <w:szCs w:val="24"/>
        </w:rPr>
        <w:t>programs and registration fees</w:t>
      </w:r>
      <w:r>
        <w:rPr>
          <w:rFonts w:ascii="Times New Roman" w:hAnsi="Times New Roman" w:cs="Times New Roman"/>
          <w:sz w:val="24"/>
          <w:szCs w:val="24"/>
        </w:rPr>
        <w:t>). Craig added that the 2016</w:t>
      </w:r>
      <w:r w:rsidRPr="00432530">
        <w:rPr>
          <w:rFonts w:ascii="Times New Roman" w:hAnsi="Times New Roman" w:cs="Times New Roman"/>
          <w:sz w:val="24"/>
          <w:szCs w:val="24"/>
        </w:rPr>
        <w:t xml:space="preserve"> </w:t>
      </w:r>
      <w:r>
        <w:rPr>
          <w:rFonts w:ascii="Times New Roman" w:hAnsi="Times New Roman" w:cs="Times New Roman"/>
          <w:sz w:val="24"/>
          <w:szCs w:val="24"/>
        </w:rPr>
        <w:t xml:space="preserve">Raiders Engaged </w:t>
      </w:r>
      <w:r w:rsidRPr="00432530">
        <w:rPr>
          <w:rFonts w:ascii="Times New Roman" w:hAnsi="Times New Roman" w:cs="Times New Roman"/>
          <w:sz w:val="24"/>
          <w:szCs w:val="24"/>
        </w:rPr>
        <w:t>survey will ope</w:t>
      </w:r>
      <w:r>
        <w:rPr>
          <w:rFonts w:ascii="Times New Roman" w:hAnsi="Times New Roman" w:cs="Times New Roman"/>
          <w:sz w:val="24"/>
          <w:szCs w:val="24"/>
        </w:rPr>
        <w:t>n for input</w:t>
      </w:r>
      <w:r w:rsidRPr="00432530">
        <w:rPr>
          <w:rFonts w:ascii="Times New Roman" w:hAnsi="Times New Roman" w:cs="Times New Roman"/>
          <w:sz w:val="24"/>
          <w:szCs w:val="24"/>
        </w:rPr>
        <w:t xml:space="preserve"> in mid-summer</w:t>
      </w:r>
      <w:r>
        <w:rPr>
          <w:rFonts w:ascii="Times New Roman" w:hAnsi="Times New Roman" w:cs="Times New Roman"/>
          <w:sz w:val="24"/>
          <w:szCs w:val="24"/>
        </w:rPr>
        <w:t>.</w:t>
      </w:r>
    </w:p>
    <w:p w:rsidR="00FB5C86" w:rsidRDefault="00FC1095" w:rsidP="00F6273A">
      <w:pPr>
        <w:rPr>
          <w:rFonts w:ascii="Times New Roman" w:hAnsi="Times New Roman" w:cs="Times New Roman"/>
          <w:sz w:val="24"/>
          <w:szCs w:val="24"/>
        </w:rPr>
      </w:pPr>
      <w:r>
        <w:rPr>
          <w:rFonts w:ascii="Times New Roman" w:hAnsi="Times New Roman" w:cs="Times New Roman"/>
          <w:sz w:val="24"/>
          <w:szCs w:val="24"/>
        </w:rPr>
        <w:lastRenderedPageBreak/>
        <w:t xml:space="preserve">The discussion continued to focus on the annual assessment of outreach and engagement.  Birgit </w:t>
      </w:r>
      <w:r w:rsidR="00FB5C86">
        <w:rPr>
          <w:rFonts w:ascii="Times New Roman" w:hAnsi="Times New Roman" w:cs="Times New Roman"/>
          <w:sz w:val="24"/>
          <w:szCs w:val="24"/>
        </w:rPr>
        <w:t>reviewed</w:t>
      </w:r>
      <w:r w:rsidR="007D11DA" w:rsidRPr="00432530">
        <w:rPr>
          <w:rFonts w:ascii="Times New Roman" w:hAnsi="Times New Roman" w:cs="Times New Roman"/>
          <w:sz w:val="24"/>
          <w:szCs w:val="24"/>
        </w:rPr>
        <w:t xml:space="preserve"> </w:t>
      </w:r>
      <w:r w:rsidR="00153BDC">
        <w:rPr>
          <w:rFonts w:ascii="Times New Roman" w:hAnsi="Times New Roman" w:cs="Times New Roman"/>
          <w:sz w:val="24"/>
          <w:szCs w:val="24"/>
        </w:rPr>
        <w:t xml:space="preserve">the </w:t>
      </w:r>
      <w:r w:rsidR="009E16AF">
        <w:rPr>
          <w:rFonts w:ascii="Times New Roman" w:hAnsi="Times New Roman" w:cs="Times New Roman"/>
          <w:sz w:val="24"/>
          <w:szCs w:val="24"/>
        </w:rPr>
        <w:t>various Forms of E</w:t>
      </w:r>
      <w:r w:rsidR="00153BDC">
        <w:rPr>
          <w:rFonts w:ascii="Times New Roman" w:hAnsi="Times New Roman" w:cs="Times New Roman"/>
          <w:sz w:val="24"/>
          <w:szCs w:val="24"/>
        </w:rPr>
        <w:t xml:space="preserve">ngagement </w:t>
      </w:r>
      <w:r w:rsidR="009E16AF">
        <w:rPr>
          <w:rFonts w:ascii="Times New Roman" w:hAnsi="Times New Roman" w:cs="Times New Roman"/>
          <w:sz w:val="24"/>
          <w:szCs w:val="24"/>
        </w:rPr>
        <w:t xml:space="preserve">and </w:t>
      </w:r>
      <w:r w:rsidR="00FB5C86">
        <w:rPr>
          <w:rFonts w:ascii="Times New Roman" w:hAnsi="Times New Roman" w:cs="Times New Roman"/>
          <w:sz w:val="24"/>
          <w:szCs w:val="24"/>
        </w:rPr>
        <w:t xml:space="preserve">associated </w:t>
      </w:r>
      <w:r w:rsidR="009E16AF">
        <w:rPr>
          <w:rFonts w:ascii="Times New Roman" w:hAnsi="Times New Roman" w:cs="Times New Roman"/>
          <w:sz w:val="24"/>
          <w:szCs w:val="24"/>
        </w:rPr>
        <w:t xml:space="preserve">definitions </w:t>
      </w:r>
      <w:r w:rsidR="00153BDC">
        <w:rPr>
          <w:rFonts w:ascii="Times New Roman" w:hAnsi="Times New Roman" w:cs="Times New Roman"/>
          <w:sz w:val="24"/>
          <w:szCs w:val="24"/>
        </w:rPr>
        <w:t>currently outlined in Raiders Engaged</w:t>
      </w:r>
      <w:r w:rsidR="007D11DA" w:rsidRPr="00432530">
        <w:rPr>
          <w:rFonts w:ascii="Times New Roman" w:hAnsi="Times New Roman" w:cs="Times New Roman"/>
          <w:sz w:val="24"/>
          <w:szCs w:val="24"/>
        </w:rPr>
        <w:t xml:space="preserve">. She </w:t>
      </w:r>
      <w:r w:rsidR="00890A76">
        <w:rPr>
          <w:rFonts w:ascii="Times New Roman" w:hAnsi="Times New Roman" w:cs="Times New Roman"/>
          <w:sz w:val="24"/>
          <w:szCs w:val="24"/>
        </w:rPr>
        <w:t xml:space="preserve">asked for </w:t>
      </w:r>
      <w:r w:rsidR="007D11DA" w:rsidRPr="00432530">
        <w:rPr>
          <w:rFonts w:ascii="Times New Roman" w:hAnsi="Times New Roman" w:cs="Times New Roman"/>
          <w:sz w:val="24"/>
          <w:szCs w:val="24"/>
        </w:rPr>
        <w:t xml:space="preserve">feedback </w:t>
      </w:r>
      <w:r w:rsidR="00153BDC">
        <w:rPr>
          <w:rFonts w:ascii="Times New Roman" w:hAnsi="Times New Roman" w:cs="Times New Roman"/>
          <w:sz w:val="24"/>
          <w:szCs w:val="24"/>
        </w:rPr>
        <w:t xml:space="preserve">from the committee </w:t>
      </w:r>
      <w:r w:rsidR="009E16AF">
        <w:rPr>
          <w:rFonts w:ascii="Times New Roman" w:hAnsi="Times New Roman" w:cs="Times New Roman"/>
          <w:sz w:val="24"/>
          <w:szCs w:val="24"/>
        </w:rPr>
        <w:t>as to whether these accurately reflect the types of</w:t>
      </w:r>
      <w:r w:rsidR="00646FC5" w:rsidRPr="00432530">
        <w:rPr>
          <w:rFonts w:ascii="Times New Roman" w:hAnsi="Times New Roman" w:cs="Times New Roman"/>
          <w:sz w:val="24"/>
          <w:szCs w:val="24"/>
        </w:rPr>
        <w:t xml:space="preserve"> engagement</w:t>
      </w:r>
      <w:r w:rsidR="009E16AF">
        <w:rPr>
          <w:rFonts w:ascii="Times New Roman" w:hAnsi="Times New Roman" w:cs="Times New Roman"/>
          <w:sz w:val="24"/>
          <w:szCs w:val="24"/>
        </w:rPr>
        <w:t xml:space="preserve"> activities </w:t>
      </w:r>
      <w:r>
        <w:rPr>
          <w:rFonts w:ascii="Times New Roman" w:hAnsi="Times New Roman" w:cs="Times New Roman"/>
          <w:sz w:val="24"/>
          <w:szCs w:val="24"/>
        </w:rPr>
        <w:t xml:space="preserve">that are </w:t>
      </w:r>
      <w:r w:rsidR="00BA6320">
        <w:rPr>
          <w:rFonts w:ascii="Times New Roman" w:hAnsi="Times New Roman" w:cs="Times New Roman"/>
          <w:sz w:val="24"/>
          <w:szCs w:val="24"/>
        </w:rPr>
        <w:t xml:space="preserve">currently </w:t>
      </w:r>
      <w:r w:rsidR="009E16AF">
        <w:rPr>
          <w:rFonts w:ascii="Times New Roman" w:hAnsi="Times New Roman" w:cs="Times New Roman"/>
          <w:sz w:val="24"/>
          <w:szCs w:val="24"/>
        </w:rPr>
        <w:t>taking place at Texas Tech</w:t>
      </w:r>
      <w:r w:rsidR="00BA6320">
        <w:rPr>
          <w:rFonts w:ascii="Times New Roman" w:hAnsi="Times New Roman" w:cs="Times New Roman"/>
          <w:sz w:val="24"/>
          <w:szCs w:val="24"/>
        </w:rPr>
        <w:t>,</w:t>
      </w:r>
      <w:r w:rsidR="00DE6658">
        <w:rPr>
          <w:rFonts w:ascii="Times New Roman" w:hAnsi="Times New Roman" w:cs="Times New Roman"/>
          <w:sz w:val="24"/>
          <w:szCs w:val="24"/>
        </w:rPr>
        <w:t xml:space="preserve"> and whether the definitions </w:t>
      </w:r>
      <w:r w:rsidR="00BA6320">
        <w:rPr>
          <w:rFonts w:ascii="Times New Roman" w:hAnsi="Times New Roman" w:cs="Times New Roman"/>
          <w:sz w:val="24"/>
          <w:szCs w:val="24"/>
        </w:rPr>
        <w:t xml:space="preserve">combined with </w:t>
      </w:r>
      <w:r>
        <w:rPr>
          <w:rFonts w:ascii="Times New Roman" w:hAnsi="Times New Roman" w:cs="Times New Roman"/>
          <w:sz w:val="24"/>
          <w:szCs w:val="24"/>
        </w:rPr>
        <w:t xml:space="preserve">the </w:t>
      </w:r>
      <w:r w:rsidR="00DE6658">
        <w:rPr>
          <w:rFonts w:ascii="Times New Roman" w:hAnsi="Times New Roman" w:cs="Times New Roman"/>
          <w:sz w:val="24"/>
          <w:szCs w:val="24"/>
        </w:rPr>
        <w:t xml:space="preserve">examples of activities </w:t>
      </w:r>
      <w:r w:rsidR="00FB5C86">
        <w:rPr>
          <w:rFonts w:ascii="Times New Roman" w:hAnsi="Times New Roman" w:cs="Times New Roman"/>
          <w:sz w:val="24"/>
          <w:szCs w:val="24"/>
        </w:rPr>
        <w:t xml:space="preserve">given in Raiders Engaged </w:t>
      </w:r>
      <w:r>
        <w:rPr>
          <w:rFonts w:ascii="Times New Roman" w:hAnsi="Times New Roman" w:cs="Times New Roman"/>
          <w:sz w:val="24"/>
          <w:szCs w:val="24"/>
        </w:rPr>
        <w:t>are</w:t>
      </w:r>
      <w:r w:rsidR="00DE6658">
        <w:rPr>
          <w:rFonts w:ascii="Times New Roman" w:hAnsi="Times New Roman" w:cs="Times New Roman"/>
          <w:sz w:val="24"/>
          <w:szCs w:val="24"/>
        </w:rPr>
        <w:t xml:space="preserve"> adequate </w:t>
      </w:r>
      <w:r>
        <w:rPr>
          <w:rFonts w:ascii="Times New Roman" w:hAnsi="Times New Roman" w:cs="Times New Roman"/>
          <w:sz w:val="24"/>
          <w:szCs w:val="24"/>
        </w:rPr>
        <w:t xml:space="preserve">to </w:t>
      </w:r>
      <w:r w:rsidR="00FB5C86">
        <w:rPr>
          <w:rFonts w:ascii="Times New Roman" w:hAnsi="Times New Roman" w:cs="Times New Roman"/>
          <w:sz w:val="24"/>
          <w:szCs w:val="24"/>
        </w:rPr>
        <w:t>help</w:t>
      </w:r>
      <w:r>
        <w:rPr>
          <w:rFonts w:ascii="Times New Roman" w:hAnsi="Times New Roman" w:cs="Times New Roman"/>
          <w:sz w:val="24"/>
          <w:szCs w:val="24"/>
        </w:rPr>
        <w:t xml:space="preserve"> responden</w:t>
      </w:r>
      <w:r w:rsidR="00FB5C86">
        <w:rPr>
          <w:rFonts w:ascii="Times New Roman" w:hAnsi="Times New Roman" w:cs="Times New Roman"/>
          <w:sz w:val="24"/>
          <w:szCs w:val="24"/>
        </w:rPr>
        <w:t xml:space="preserve">ts </w:t>
      </w:r>
      <w:r w:rsidR="00DE6658">
        <w:rPr>
          <w:rFonts w:ascii="Times New Roman" w:hAnsi="Times New Roman" w:cs="Times New Roman"/>
          <w:sz w:val="24"/>
          <w:szCs w:val="24"/>
        </w:rPr>
        <w:t>identify</w:t>
      </w:r>
      <w:r w:rsidR="00FB5C86">
        <w:rPr>
          <w:rFonts w:ascii="Times New Roman" w:hAnsi="Times New Roman" w:cs="Times New Roman"/>
          <w:sz w:val="24"/>
          <w:szCs w:val="24"/>
        </w:rPr>
        <w:t xml:space="preserve"> and categorize</w:t>
      </w:r>
      <w:r w:rsidR="00BA6320">
        <w:rPr>
          <w:rFonts w:ascii="Times New Roman" w:hAnsi="Times New Roman" w:cs="Times New Roman"/>
          <w:sz w:val="24"/>
          <w:szCs w:val="24"/>
        </w:rPr>
        <w:t xml:space="preserve"> their engagement activities</w:t>
      </w:r>
      <w:r w:rsidR="00DE6658">
        <w:rPr>
          <w:rFonts w:ascii="Times New Roman" w:hAnsi="Times New Roman" w:cs="Times New Roman"/>
          <w:sz w:val="24"/>
          <w:szCs w:val="24"/>
        </w:rPr>
        <w:t xml:space="preserve">. </w:t>
      </w:r>
      <w:r w:rsidR="00646FC5" w:rsidRPr="00432530">
        <w:rPr>
          <w:rFonts w:ascii="Times New Roman" w:hAnsi="Times New Roman" w:cs="Times New Roman"/>
          <w:sz w:val="24"/>
          <w:szCs w:val="24"/>
        </w:rPr>
        <w:t xml:space="preserve"> </w:t>
      </w:r>
    </w:p>
    <w:p w:rsidR="00384D62" w:rsidRPr="00432530" w:rsidRDefault="001E464A" w:rsidP="00F6273A">
      <w:pPr>
        <w:rPr>
          <w:rFonts w:ascii="Times New Roman" w:hAnsi="Times New Roman" w:cs="Times New Roman"/>
          <w:sz w:val="24"/>
          <w:szCs w:val="24"/>
        </w:rPr>
      </w:pPr>
      <w:r w:rsidRPr="00432530">
        <w:rPr>
          <w:rFonts w:ascii="Times New Roman" w:hAnsi="Times New Roman" w:cs="Times New Roman"/>
          <w:sz w:val="24"/>
          <w:szCs w:val="24"/>
        </w:rPr>
        <w:t xml:space="preserve">Steve Maxner pointed out that the Vietnam </w:t>
      </w:r>
      <w:r w:rsidR="00BA6320">
        <w:rPr>
          <w:rFonts w:ascii="Times New Roman" w:hAnsi="Times New Roman" w:cs="Times New Roman"/>
          <w:sz w:val="24"/>
          <w:szCs w:val="24"/>
        </w:rPr>
        <w:t>Center</w:t>
      </w:r>
      <w:r w:rsidR="00FB5C86">
        <w:rPr>
          <w:rFonts w:ascii="Times New Roman" w:hAnsi="Times New Roman" w:cs="Times New Roman"/>
          <w:sz w:val="24"/>
          <w:szCs w:val="24"/>
        </w:rPr>
        <w:t xml:space="preserve"> </w:t>
      </w:r>
      <w:r w:rsidRPr="00432530">
        <w:rPr>
          <w:rFonts w:ascii="Times New Roman" w:hAnsi="Times New Roman" w:cs="Times New Roman"/>
          <w:sz w:val="24"/>
          <w:szCs w:val="24"/>
        </w:rPr>
        <w:t>hosts several aca</w:t>
      </w:r>
      <w:r w:rsidR="00BA6320">
        <w:rPr>
          <w:rFonts w:ascii="Times New Roman" w:hAnsi="Times New Roman" w:cs="Times New Roman"/>
          <w:sz w:val="24"/>
          <w:szCs w:val="24"/>
        </w:rPr>
        <w:t>demic conferences that attract</w:t>
      </w:r>
      <w:r w:rsidRPr="00432530">
        <w:rPr>
          <w:rFonts w:ascii="Times New Roman" w:hAnsi="Times New Roman" w:cs="Times New Roman"/>
          <w:sz w:val="24"/>
          <w:szCs w:val="24"/>
        </w:rPr>
        <w:t xml:space="preserve"> par</w:t>
      </w:r>
      <w:r w:rsidR="00680818" w:rsidRPr="00432530">
        <w:rPr>
          <w:rFonts w:ascii="Times New Roman" w:hAnsi="Times New Roman" w:cs="Times New Roman"/>
          <w:sz w:val="24"/>
          <w:szCs w:val="24"/>
        </w:rPr>
        <w:t xml:space="preserve">ticipants from around the world. </w:t>
      </w:r>
      <w:r w:rsidR="00FB5C86">
        <w:rPr>
          <w:rFonts w:ascii="Times New Roman" w:hAnsi="Times New Roman" w:cs="Times New Roman"/>
          <w:sz w:val="24"/>
          <w:szCs w:val="24"/>
        </w:rPr>
        <w:t xml:space="preserve"> </w:t>
      </w:r>
      <w:r w:rsidR="00BA6320">
        <w:rPr>
          <w:rFonts w:ascii="Times New Roman" w:hAnsi="Times New Roman" w:cs="Times New Roman"/>
          <w:sz w:val="24"/>
          <w:szCs w:val="24"/>
        </w:rPr>
        <w:t xml:space="preserve">Birgit noted that conferences </w:t>
      </w:r>
      <w:r w:rsidR="00FB5C86">
        <w:rPr>
          <w:rFonts w:ascii="Times New Roman" w:hAnsi="Times New Roman" w:cs="Times New Roman"/>
          <w:sz w:val="24"/>
          <w:szCs w:val="24"/>
        </w:rPr>
        <w:t xml:space="preserve">would </w:t>
      </w:r>
      <w:r w:rsidR="00BA6320">
        <w:rPr>
          <w:rFonts w:ascii="Times New Roman" w:hAnsi="Times New Roman" w:cs="Times New Roman"/>
          <w:sz w:val="24"/>
          <w:szCs w:val="24"/>
        </w:rPr>
        <w:t xml:space="preserve">fall under </w:t>
      </w:r>
      <w:r w:rsidR="00FB5C86">
        <w:rPr>
          <w:rFonts w:ascii="Times New Roman" w:hAnsi="Times New Roman" w:cs="Times New Roman"/>
          <w:sz w:val="24"/>
          <w:szCs w:val="24"/>
        </w:rPr>
        <w:t xml:space="preserve">the category of </w:t>
      </w:r>
      <w:r w:rsidR="00BA6320">
        <w:rPr>
          <w:rFonts w:ascii="Times New Roman" w:hAnsi="Times New Roman" w:cs="Times New Roman"/>
          <w:sz w:val="24"/>
          <w:szCs w:val="24"/>
        </w:rPr>
        <w:t>“Engaged Instruction: Noncredit Classes and P</w:t>
      </w:r>
      <w:r w:rsidR="00FB5C86">
        <w:rPr>
          <w:rFonts w:ascii="Times New Roman" w:hAnsi="Times New Roman" w:cs="Times New Roman"/>
          <w:sz w:val="24"/>
          <w:szCs w:val="24"/>
        </w:rPr>
        <w:t>rograms</w:t>
      </w:r>
      <w:r w:rsidR="00BA6320">
        <w:rPr>
          <w:rFonts w:ascii="Times New Roman" w:hAnsi="Times New Roman" w:cs="Times New Roman"/>
          <w:sz w:val="24"/>
          <w:szCs w:val="24"/>
        </w:rPr>
        <w:t xml:space="preserve">” </w:t>
      </w:r>
      <w:r w:rsidR="00FB5C86">
        <w:rPr>
          <w:rFonts w:ascii="Times New Roman" w:hAnsi="Times New Roman" w:cs="Times New Roman"/>
          <w:sz w:val="24"/>
          <w:szCs w:val="24"/>
        </w:rPr>
        <w:t xml:space="preserve">even if the event attracts participants from within the field of academia.  </w:t>
      </w:r>
      <w:r w:rsidR="00680818" w:rsidRPr="00432530">
        <w:rPr>
          <w:rFonts w:ascii="Times New Roman" w:hAnsi="Times New Roman" w:cs="Times New Roman"/>
          <w:sz w:val="24"/>
          <w:szCs w:val="24"/>
        </w:rPr>
        <w:t>J</w:t>
      </w:r>
      <w:r w:rsidR="00545F9C" w:rsidRPr="00432530">
        <w:rPr>
          <w:rFonts w:ascii="Times New Roman" w:hAnsi="Times New Roman" w:cs="Times New Roman"/>
          <w:sz w:val="24"/>
          <w:szCs w:val="24"/>
        </w:rPr>
        <w:t xml:space="preserve">acqueline </w:t>
      </w:r>
      <w:r w:rsidR="00680818" w:rsidRPr="00432530">
        <w:rPr>
          <w:rFonts w:ascii="Times New Roman" w:hAnsi="Times New Roman" w:cs="Times New Roman"/>
          <w:sz w:val="24"/>
          <w:szCs w:val="24"/>
        </w:rPr>
        <w:t>Henninger mentioned that the Schoo</w:t>
      </w:r>
      <w:r w:rsidR="00BA6320">
        <w:rPr>
          <w:rFonts w:ascii="Times New Roman" w:hAnsi="Times New Roman" w:cs="Times New Roman"/>
          <w:sz w:val="24"/>
          <w:szCs w:val="24"/>
        </w:rPr>
        <w:t xml:space="preserve">l of Visual and Performing Arts </w:t>
      </w:r>
      <w:r w:rsidR="00FB5C86">
        <w:rPr>
          <w:rFonts w:ascii="Times New Roman" w:hAnsi="Times New Roman" w:cs="Times New Roman"/>
          <w:sz w:val="24"/>
          <w:szCs w:val="24"/>
        </w:rPr>
        <w:t xml:space="preserve">recently </w:t>
      </w:r>
      <w:r w:rsidR="00BA6320">
        <w:rPr>
          <w:rFonts w:ascii="Times New Roman" w:hAnsi="Times New Roman" w:cs="Times New Roman"/>
          <w:sz w:val="24"/>
          <w:szCs w:val="24"/>
        </w:rPr>
        <w:t>hosted an event in</w:t>
      </w:r>
      <w:r w:rsidR="00680818" w:rsidRPr="00432530">
        <w:rPr>
          <w:rFonts w:ascii="Times New Roman" w:hAnsi="Times New Roman" w:cs="Times New Roman"/>
          <w:sz w:val="24"/>
          <w:szCs w:val="24"/>
        </w:rPr>
        <w:t xml:space="preserve"> collaborat</w:t>
      </w:r>
      <w:r w:rsidR="00BA6320">
        <w:rPr>
          <w:rFonts w:ascii="Times New Roman" w:hAnsi="Times New Roman" w:cs="Times New Roman"/>
          <w:sz w:val="24"/>
          <w:szCs w:val="24"/>
        </w:rPr>
        <w:t>ion with the National Saxophone</w:t>
      </w:r>
      <w:r w:rsidR="00680818" w:rsidRPr="00432530">
        <w:rPr>
          <w:rFonts w:ascii="Times New Roman" w:hAnsi="Times New Roman" w:cs="Times New Roman"/>
          <w:sz w:val="24"/>
          <w:szCs w:val="24"/>
        </w:rPr>
        <w:t xml:space="preserve"> Association which includes </w:t>
      </w:r>
      <w:r w:rsidR="00FB5C86">
        <w:rPr>
          <w:rFonts w:ascii="Times New Roman" w:hAnsi="Times New Roman" w:cs="Times New Roman"/>
          <w:sz w:val="24"/>
          <w:szCs w:val="24"/>
        </w:rPr>
        <w:t>both</w:t>
      </w:r>
      <w:r w:rsidR="00384D62" w:rsidRPr="00432530">
        <w:rPr>
          <w:rFonts w:ascii="Times New Roman" w:hAnsi="Times New Roman" w:cs="Times New Roman"/>
          <w:sz w:val="24"/>
          <w:szCs w:val="24"/>
        </w:rPr>
        <w:t xml:space="preserve"> school teachers and </w:t>
      </w:r>
      <w:r w:rsidR="00680818" w:rsidRPr="00432530">
        <w:rPr>
          <w:rFonts w:ascii="Times New Roman" w:hAnsi="Times New Roman" w:cs="Times New Roman"/>
          <w:sz w:val="24"/>
          <w:szCs w:val="24"/>
        </w:rPr>
        <w:t xml:space="preserve">saxophone </w:t>
      </w:r>
      <w:r w:rsidR="00384D62" w:rsidRPr="00432530">
        <w:rPr>
          <w:rFonts w:ascii="Times New Roman" w:hAnsi="Times New Roman" w:cs="Times New Roman"/>
          <w:sz w:val="24"/>
          <w:szCs w:val="24"/>
        </w:rPr>
        <w:t xml:space="preserve">professionals. She also mentioned </w:t>
      </w:r>
      <w:r w:rsidR="006B5B6A" w:rsidRPr="00432530">
        <w:rPr>
          <w:rFonts w:ascii="Times New Roman" w:hAnsi="Times New Roman" w:cs="Times New Roman"/>
          <w:sz w:val="24"/>
          <w:szCs w:val="24"/>
        </w:rPr>
        <w:t xml:space="preserve">some </w:t>
      </w:r>
      <w:r w:rsidR="00384D62" w:rsidRPr="00432530">
        <w:rPr>
          <w:rFonts w:ascii="Times New Roman" w:hAnsi="Times New Roman" w:cs="Times New Roman"/>
          <w:sz w:val="24"/>
          <w:szCs w:val="24"/>
        </w:rPr>
        <w:t xml:space="preserve">projects </w:t>
      </w:r>
      <w:r w:rsidR="001E1E32">
        <w:rPr>
          <w:rFonts w:ascii="Times New Roman" w:hAnsi="Times New Roman" w:cs="Times New Roman"/>
          <w:sz w:val="24"/>
          <w:szCs w:val="24"/>
        </w:rPr>
        <w:t>involving collaborations</w:t>
      </w:r>
      <w:r w:rsidR="00607EBA" w:rsidRPr="00432530">
        <w:rPr>
          <w:rFonts w:ascii="Times New Roman" w:hAnsi="Times New Roman" w:cs="Times New Roman"/>
          <w:sz w:val="24"/>
          <w:szCs w:val="24"/>
        </w:rPr>
        <w:t xml:space="preserve"> with local schools to prepare music ensembles. </w:t>
      </w:r>
      <w:r w:rsidR="00BA6320">
        <w:rPr>
          <w:rFonts w:ascii="Times New Roman" w:hAnsi="Times New Roman" w:cs="Times New Roman"/>
          <w:sz w:val="24"/>
          <w:szCs w:val="24"/>
        </w:rPr>
        <w:t xml:space="preserve">Birgit </w:t>
      </w:r>
      <w:r w:rsidR="00384D62" w:rsidRPr="00432530">
        <w:rPr>
          <w:rFonts w:ascii="Times New Roman" w:hAnsi="Times New Roman" w:cs="Times New Roman"/>
          <w:sz w:val="24"/>
          <w:szCs w:val="24"/>
        </w:rPr>
        <w:t xml:space="preserve">clarified that </w:t>
      </w:r>
      <w:r w:rsidR="001E1E32">
        <w:rPr>
          <w:rFonts w:ascii="Times New Roman" w:hAnsi="Times New Roman" w:cs="Times New Roman"/>
          <w:sz w:val="24"/>
          <w:szCs w:val="24"/>
        </w:rPr>
        <w:t xml:space="preserve">any </w:t>
      </w:r>
      <w:r w:rsidR="00384D62" w:rsidRPr="00432530">
        <w:rPr>
          <w:rFonts w:ascii="Times New Roman" w:hAnsi="Times New Roman" w:cs="Times New Roman"/>
          <w:sz w:val="24"/>
          <w:szCs w:val="24"/>
        </w:rPr>
        <w:t xml:space="preserve">projects </w:t>
      </w:r>
      <w:r w:rsidR="001E1E32">
        <w:rPr>
          <w:rFonts w:ascii="Times New Roman" w:hAnsi="Times New Roman" w:cs="Times New Roman"/>
          <w:sz w:val="24"/>
          <w:szCs w:val="24"/>
        </w:rPr>
        <w:t>involving</w:t>
      </w:r>
      <w:r w:rsidR="00384D62" w:rsidRPr="00432530">
        <w:rPr>
          <w:rFonts w:ascii="Times New Roman" w:hAnsi="Times New Roman" w:cs="Times New Roman"/>
          <w:sz w:val="24"/>
          <w:szCs w:val="24"/>
        </w:rPr>
        <w:t xml:space="preserve"> </w:t>
      </w:r>
      <w:r w:rsidR="00BA6320">
        <w:rPr>
          <w:rFonts w:ascii="Times New Roman" w:hAnsi="Times New Roman" w:cs="Times New Roman"/>
          <w:sz w:val="24"/>
          <w:szCs w:val="24"/>
        </w:rPr>
        <w:t xml:space="preserve">collaborations with </w:t>
      </w:r>
      <w:r w:rsidR="00FB5C86">
        <w:rPr>
          <w:rFonts w:ascii="Times New Roman" w:hAnsi="Times New Roman" w:cs="Times New Roman"/>
          <w:sz w:val="24"/>
          <w:szCs w:val="24"/>
        </w:rPr>
        <w:t>outside entities</w:t>
      </w:r>
      <w:r w:rsidR="001E1E32">
        <w:rPr>
          <w:rFonts w:ascii="Times New Roman" w:hAnsi="Times New Roman" w:cs="Times New Roman"/>
          <w:sz w:val="24"/>
          <w:szCs w:val="24"/>
        </w:rPr>
        <w:t xml:space="preserve"> such as </w:t>
      </w:r>
      <w:r w:rsidR="00FB5C86">
        <w:rPr>
          <w:rFonts w:ascii="Times New Roman" w:hAnsi="Times New Roman" w:cs="Times New Roman"/>
          <w:sz w:val="24"/>
          <w:szCs w:val="24"/>
        </w:rPr>
        <w:t>s</w:t>
      </w:r>
      <w:r w:rsidR="001E1E32">
        <w:rPr>
          <w:rFonts w:ascii="Times New Roman" w:hAnsi="Times New Roman" w:cs="Times New Roman"/>
          <w:sz w:val="24"/>
          <w:szCs w:val="24"/>
        </w:rPr>
        <w:t xml:space="preserve">chools, </w:t>
      </w:r>
      <w:r w:rsidR="00384D62" w:rsidRPr="00432530">
        <w:rPr>
          <w:rFonts w:ascii="Times New Roman" w:hAnsi="Times New Roman" w:cs="Times New Roman"/>
          <w:sz w:val="24"/>
          <w:szCs w:val="24"/>
        </w:rPr>
        <w:t xml:space="preserve">universities and community colleges </w:t>
      </w:r>
      <w:r w:rsidR="00BA6320">
        <w:rPr>
          <w:rFonts w:ascii="Times New Roman" w:hAnsi="Times New Roman" w:cs="Times New Roman"/>
          <w:sz w:val="24"/>
          <w:szCs w:val="24"/>
        </w:rPr>
        <w:t>would q</w:t>
      </w:r>
      <w:r w:rsidR="00384D62" w:rsidRPr="00432530">
        <w:rPr>
          <w:rFonts w:ascii="Times New Roman" w:hAnsi="Times New Roman" w:cs="Times New Roman"/>
          <w:sz w:val="24"/>
          <w:szCs w:val="24"/>
        </w:rPr>
        <w:t xml:space="preserve">ualify as engagement </w:t>
      </w:r>
      <w:r w:rsidR="001E1E32">
        <w:rPr>
          <w:rFonts w:ascii="Times New Roman" w:hAnsi="Times New Roman" w:cs="Times New Roman"/>
          <w:sz w:val="24"/>
          <w:szCs w:val="24"/>
        </w:rPr>
        <w:t xml:space="preserve">regionally or nationally. </w:t>
      </w:r>
    </w:p>
    <w:p w:rsidR="001A1068" w:rsidRDefault="00607EBA" w:rsidP="00F6273A">
      <w:pPr>
        <w:rPr>
          <w:rFonts w:ascii="Times New Roman" w:hAnsi="Times New Roman" w:cs="Times New Roman"/>
          <w:sz w:val="24"/>
          <w:szCs w:val="24"/>
        </w:rPr>
      </w:pPr>
      <w:r w:rsidRPr="00432530">
        <w:rPr>
          <w:rFonts w:ascii="Times New Roman" w:hAnsi="Times New Roman" w:cs="Times New Roman"/>
          <w:sz w:val="24"/>
          <w:szCs w:val="24"/>
        </w:rPr>
        <w:t>Further, Claudia Cogliser</w:t>
      </w:r>
      <w:r w:rsidR="00F2496A" w:rsidRPr="00432530">
        <w:rPr>
          <w:rFonts w:ascii="Times New Roman" w:hAnsi="Times New Roman" w:cs="Times New Roman"/>
          <w:sz w:val="24"/>
          <w:szCs w:val="24"/>
        </w:rPr>
        <w:t xml:space="preserve"> talked about The Rawls College of Business’ Career Management Center which initiates relationships between employers and</w:t>
      </w:r>
      <w:r w:rsidR="006B5B6A" w:rsidRPr="00432530">
        <w:rPr>
          <w:rFonts w:ascii="Times New Roman" w:hAnsi="Times New Roman" w:cs="Times New Roman"/>
          <w:sz w:val="24"/>
          <w:szCs w:val="24"/>
        </w:rPr>
        <w:t xml:space="preserve"> students through career fairs and </w:t>
      </w:r>
      <w:r w:rsidR="00F2496A" w:rsidRPr="00432530">
        <w:rPr>
          <w:rFonts w:ascii="Times New Roman" w:hAnsi="Times New Roman" w:cs="Times New Roman"/>
          <w:sz w:val="24"/>
          <w:szCs w:val="24"/>
        </w:rPr>
        <w:t xml:space="preserve">alumni center talk sessions. She </w:t>
      </w:r>
      <w:r w:rsidR="001A546C" w:rsidRPr="00432530">
        <w:rPr>
          <w:rFonts w:ascii="Times New Roman" w:hAnsi="Times New Roman" w:cs="Times New Roman"/>
          <w:sz w:val="24"/>
          <w:szCs w:val="24"/>
        </w:rPr>
        <w:t>asked for clarification whether</w:t>
      </w:r>
      <w:r w:rsidR="00FF3EED" w:rsidRPr="00432530">
        <w:rPr>
          <w:rFonts w:ascii="Times New Roman" w:hAnsi="Times New Roman" w:cs="Times New Roman"/>
          <w:sz w:val="24"/>
          <w:szCs w:val="24"/>
        </w:rPr>
        <w:t xml:space="preserve"> these </w:t>
      </w:r>
      <w:r w:rsidR="00FB5C86">
        <w:rPr>
          <w:rFonts w:ascii="Times New Roman" w:hAnsi="Times New Roman" w:cs="Times New Roman"/>
          <w:sz w:val="24"/>
          <w:szCs w:val="24"/>
        </w:rPr>
        <w:t xml:space="preserve">types of </w:t>
      </w:r>
      <w:r w:rsidR="00FF3EED" w:rsidRPr="00432530">
        <w:rPr>
          <w:rFonts w:ascii="Times New Roman" w:hAnsi="Times New Roman" w:cs="Times New Roman"/>
          <w:sz w:val="24"/>
          <w:szCs w:val="24"/>
        </w:rPr>
        <w:t>activities qualify as engagement specially because there is a reciprocal and ongoing relationship</w:t>
      </w:r>
      <w:r w:rsidR="006B5B6A" w:rsidRPr="00432530">
        <w:rPr>
          <w:rFonts w:ascii="Times New Roman" w:hAnsi="Times New Roman" w:cs="Times New Roman"/>
          <w:sz w:val="24"/>
          <w:szCs w:val="24"/>
        </w:rPr>
        <w:t xml:space="preserve"> between the employers and the School of B</w:t>
      </w:r>
      <w:r w:rsidR="00FF3EED" w:rsidRPr="00432530">
        <w:rPr>
          <w:rFonts w:ascii="Times New Roman" w:hAnsi="Times New Roman" w:cs="Times New Roman"/>
          <w:sz w:val="24"/>
          <w:szCs w:val="24"/>
        </w:rPr>
        <w:t xml:space="preserve">usiness. </w:t>
      </w:r>
      <w:r w:rsidR="001E1E32">
        <w:rPr>
          <w:rFonts w:ascii="Times New Roman" w:hAnsi="Times New Roman" w:cs="Times New Roman"/>
          <w:sz w:val="24"/>
          <w:szCs w:val="24"/>
        </w:rPr>
        <w:t>Birgit</w:t>
      </w:r>
      <w:r w:rsidR="00FF3EED" w:rsidRPr="00432530">
        <w:rPr>
          <w:rFonts w:ascii="Times New Roman" w:hAnsi="Times New Roman" w:cs="Times New Roman"/>
          <w:sz w:val="24"/>
          <w:szCs w:val="24"/>
        </w:rPr>
        <w:t xml:space="preserve"> clarified that</w:t>
      </w:r>
      <w:r w:rsidR="000B62CB" w:rsidRPr="00432530">
        <w:rPr>
          <w:rFonts w:ascii="Times New Roman" w:hAnsi="Times New Roman" w:cs="Times New Roman"/>
          <w:sz w:val="24"/>
          <w:szCs w:val="24"/>
        </w:rPr>
        <w:t xml:space="preserve"> </w:t>
      </w:r>
      <w:r w:rsidR="001E1E32">
        <w:rPr>
          <w:rFonts w:ascii="Times New Roman" w:hAnsi="Times New Roman" w:cs="Times New Roman"/>
          <w:sz w:val="24"/>
          <w:szCs w:val="24"/>
        </w:rPr>
        <w:t xml:space="preserve">as long as the relationship is </w:t>
      </w:r>
      <w:r w:rsidR="00FB5C86">
        <w:rPr>
          <w:rFonts w:ascii="Times New Roman" w:hAnsi="Times New Roman" w:cs="Times New Roman"/>
          <w:sz w:val="24"/>
          <w:szCs w:val="24"/>
        </w:rPr>
        <w:t xml:space="preserve">mutually beneficial </w:t>
      </w:r>
      <w:r w:rsidR="000B62CB" w:rsidRPr="00432530">
        <w:rPr>
          <w:rFonts w:ascii="Times New Roman" w:hAnsi="Times New Roman" w:cs="Times New Roman"/>
          <w:sz w:val="24"/>
          <w:szCs w:val="24"/>
        </w:rPr>
        <w:t>and</w:t>
      </w:r>
      <w:r w:rsidR="00FF3EED" w:rsidRPr="00432530">
        <w:rPr>
          <w:rFonts w:ascii="Times New Roman" w:hAnsi="Times New Roman" w:cs="Times New Roman"/>
          <w:sz w:val="24"/>
          <w:szCs w:val="24"/>
        </w:rPr>
        <w:t xml:space="preserve"> tied to the </w:t>
      </w:r>
      <w:r w:rsidR="00FB5C86">
        <w:rPr>
          <w:rFonts w:ascii="Times New Roman" w:hAnsi="Times New Roman" w:cs="Times New Roman"/>
          <w:sz w:val="24"/>
          <w:szCs w:val="24"/>
        </w:rPr>
        <w:t xml:space="preserve">educational </w:t>
      </w:r>
      <w:r w:rsidR="00FF3EED" w:rsidRPr="00432530">
        <w:rPr>
          <w:rFonts w:ascii="Times New Roman" w:hAnsi="Times New Roman" w:cs="Times New Roman"/>
          <w:sz w:val="24"/>
          <w:szCs w:val="24"/>
        </w:rPr>
        <w:t xml:space="preserve">mission of the </w:t>
      </w:r>
      <w:r w:rsidR="001E1E32">
        <w:rPr>
          <w:rFonts w:ascii="Times New Roman" w:hAnsi="Times New Roman" w:cs="Times New Roman"/>
          <w:sz w:val="24"/>
          <w:szCs w:val="24"/>
        </w:rPr>
        <w:t xml:space="preserve">college or department, those would qualify. </w:t>
      </w:r>
      <w:r w:rsidR="000B62CB" w:rsidRPr="00432530">
        <w:rPr>
          <w:rFonts w:ascii="Times New Roman" w:hAnsi="Times New Roman" w:cs="Times New Roman"/>
          <w:sz w:val="24"/>
          <w:szCs w:val="24"/>
        </w:rPr>
        <w:t xml:space="preserve"> </w:t>
      </w:r>
      <w:r w:rsidR="001A1068">
        <w:rPr>
          <w:rFonts w:ascii="Times New Roman" w:hAnsi="Times New Roman" w:cs="Times New Roman"/>
          <w:sz w:val="24"/>
          <w:szCs w:val="24"/>
        </w:rPr>
        <w:t>The</w:t>
      </w:r>
      <w:r w:rsidR="001E1E32">
        <w:rPr>
          <w:rFonts w:ascii="Times New Roman" w:hAnsi="Times New Roman" w:cs="Times New Roman"/>
          <w:sz w:val="24"/>
          <w:szCs w:val="24"/>
        </w:rPr>
        <w:t xml:space="preserve"> committee </w:t>
      </w:r>
      <w:r w:rsidR="001A1068">
        <w:rPr>
          <w:rFonts w:ascii="Times New Roman" w:hAnsi="Times New Roman" w:cs="Times New Roman"/>
          <w:sz w:val="24"/>
          <w:szCs w:val="24"/>
        </w:rPr>
        <w:t>ultimately agreed</w:t>
      </w:r>
      <w:r w:rsidR="001E1E32">
        <w:rPr>
          <w:rFonts w:ascii="Times New Roman" w:hAnsi="Times New Roman" w:cs="Times New Roman"/>
          <w:sz w:val="24"/>
          <w:szCs w:val="24"/>
        </w:rPr>
        <w:t xml:space="preserve"> that “Economic Development” was not adequately represented in the </w:t>
      </w:r>
      <w:r w:rsidR="001A1068">
        <w:rPr>
          <w:rFonts w:ascii="Times New Roman" w:hAnsi="Times New Roman" w:cs="Times New Roman"/>
          <w:sz w:val="24"/>
          <w:szCs w:val="24"/>
        </w:rPr>
        <w:t xml:space="preserve">current list of </w:t>
      </w:r>
      <w:r w:rsidR="001E1E32">
        <w:rPr>
          <w:rFonts w:ascii="Times New Roman" w:hAnsi="Times New Roman" w:cs="Times New Roman"/>
          <w:sz w:val="24"/>
          <w:szCs w:val="24"/>
        </w:rPr>
        <w:t>categories.  Birgit noted that she would add this category and provide a</w:t>
      </w:r>
      <w:r w:rsidR="001A1068">
        <w:rPr>
          <w:rFonts w:ascii="Times New Roman" w:hAnsi="Times New Roman" w:cs="Times New Roman"/>
          <w:sz w:val="24"/>
          <w:szCs w:val="24"/>
        </w:rPr>
        <w:t>n</w:t>
      </w:r>
      <w:r w:rsidR="000B62CB" w:rsidRPr="00432530">
        <w:rPr>
          <w:rFonts w:ascii="Times New Roman" w:hAnsi="Times New Roman" w:cs="Times New Roman"/>
          <w:sz w:val="24"/>
          <w:szCs w:val="24"/>
        </w:rPr>
        <w:t xml:space="preserve"> </w:t>
      </w:r>
      <w:r w:rsidR="001A1068">
        <w:rPr>
          <w:rFonts w:ascii="Times New Roman" w:hAnsi="Times New Roman" w:cs="Times New Roman"/>
          <w:sz w:val="24"/>
          <w:szCs w:val="24"/>
        </w:rPr>
        <w:t xml:space="preserve">updated </w:t>
      </w:r>
      <w:r w:rsidR="000B62CB" w:rsidRPr="00432530">
        <w:rPr>
          <w:rFonts w:ascii="Times New Roman" w:hAnsi="Times New Roman" w:cs="Times New Roman"/>
          <w:sz w:val="24"/>
          <w:szCs w:val="24"/>
        </w:rPr>
        <w:t xml:space="preserve">version of </w:t>
      </w:r>
      <w:r w:rsidR="001E676E" w:rsidRPr="00432530">
        <w:rPr>
          <w:rFonts w:ascii="Times New Roman" w:hAnsi="Times New Roman" w:cs="Times New Roman"/>
          <w:sz w:val="24"/>
          <w:szCs w:val="24"/>
        </w:rPr>
        <w:t xml:space="preserve">the </w:t>
      </w:r>
      <w:r w:rsidR="001E1E32">
        <w:rPr>
          <w:rFonts w:ascii="Times New Roman" w:hAnsi="Times New Roman" w:cs="Times New Roman"/>
          <w:sz w:val="24"/>
          <w:szCs w:val="24"/>
        </w:rPr>
        <w:t xml:space="preserve">classifications.  </w:t>
      </w:r>
    </w:p>
    <w:p w:rsidR="00DB1E5D" w:rsidRDefault="001A1068" w:rsidP="00F6273A">
      <w:pPr>
        <w:rPr>
          <w:rFonts w:ascii="Times New Roman" w:hAnsi="Times New Roman" w:cs="Times New Roman"/>
          <w:sz w:val="24"/>
          <w:szCs w:val="24"/>
        </w:rPr>
      </w:pPr>
      <w:r>
        <w:rPr>
          <w:rFonts w:ascii="Times New Roman" w:hAnsi="Times New Roman" w:cs="Times New Roman"/>
          <w:sz w:val="24"/>
          <w:szCs w:val="24"/>
        </w:rPr>
        <w:t xml:space="preserve">Next </w:t>
      </w:r>
      <w:r w:rsidR="00DB1E5D">
        <w:rPr>
          <w:rFonts w:ascii="Times New Roman" w:hAnsi="Times New Roman" w:cs="Times New Roman"/>
          <w:sz w:val="24"/>
          <w:szCs w:val="24"/>
        </w:rPr>
        <w:t xml:space="preserve">Birgit sought feedback on the formal </w:t>
      </w:r>
      <w:r w:rsidR="0097536E">
        <w:rPr>
          <w:rFonts w:ascii="Times New Roman" w:hAnsi="Times New Roman" w:cs="Times New Roman"/>
          <w:sz w:val="24"/>
          <w:szCs w:val="24"/>
        </w:rPr>
        <w:t>d</w:t>
      </w:r>
      <w:r w:rsidR="00DB1E5D">
        <w:rPr>
          <w:rFonts w:ascii="Times New Roman" w:hAnsi="Times New Roman" w:cs="Times New Roman"/>
          <w:sz w:val="24"/>
          <w:szCs w:val="24"/>
        </w:rPr>
        <w:t>efinition of Outreach and Engagement. Texas Tech currently uses the Carnegie Foundation’s definition.  Upon review, the committee agreed that the Carnegie definition is appropriate and adequate for use by Texas Tech and recommended that the institution keep using it</w:t>
      </w:r>
      <w:r w:rsidR="0097536E">
        <w:rPr>
          <w:rFonts w:ascii="Times New Roman" w:hAnsi="Times New Roman" w:cs="Times New Roman"/>
          <w:sz w:val="24"/>
          <w:szCs w:val="24"/>
        </w:rPr>
        <w:t xml:space="preserve"> (see attached)</w:t>
      </w:r>
      <w:r w:rsidR="00DB1E5D">
        <w:rPr>
          <w:rFonts w:ascii="Times New Roman" w:hAnsi="Times New Roman" w:cs="Times New Roman"/>
          <w:sz w:val="24"/>
          <w:szCs w:val="24"/>
        </w:rPr>
        <w:t>.</w:t>
      </w:r>
    </w:p>
    <w:p w:rsidR="001A546C" w:rsidRPr="00432530" w:rsidRDefault="00DB1E5D" w:rsidP="00F6273A">
      <w:pPr>
        <w:rPr>
          <w:rFonts w:ascii="Times New Roman" w:hAnsi="Times New Roman" w:cs="Times New Roman"/>
          <w:sz w:val="24"/>
          <w:szCs w:val="24"/>
        </w:rPr>
      </w:pPr>
      <w:r>
        <w:rPr>
          <w:rFonts w:ascii="Times New Roman" w:hAnsi="Times New Roman" w:cs="Times New Roman"/>
          <w:sz w:val="24"/>
          <w:szCs w:val="24"/>
        </w:rPr>
        <w:t>Lastly, Birgit informed the committee</w:t>
      </w:r>
      <w:r w:rsidR="006560D3" w:rsidRPr="00432530">
        <w:rPr>
          <w:rFonts w:ascii="Times New Roman" w:hAnsi="Times New Roman" w:cs="Times New Roman"/>
          <w:sz w:val="24"/>
          <w:szCs w:val="24"/>
        </w:rPr>
        <w:t xml:space="preserve"> about </w:t>
      </w:r>
      <w:r>
        <w:rPr>
          <w:rFonts w:ascii="Times New Roman" w:hAnsi="Times New Roman" w:cs="Times New Roman"/>
          <w:sz w:val="24"/>
          <w:szCs w:val="24"/>
        </w:rPr>
        <w:t xml:space="preserve">an upcoming internal proposal submission process for </w:t>
      </w:r>
      <w:r w:rsidR="006560D3" w:rsidRPr="00432530">
        <w:rPr>
          <w:rFonts w:ascii="Times New Roman" w:hAnsi="Times New Roman" w:cs="Times New Roman"/>
          <w:sz w:val="24"/>
          <w:szCs w:val="24"/>
        </w:rPr>
        <w:t>the</w:t>
      </w:r>
      <w:r>
        <w:rPr>
          <w:rFonts w:ascii="Times New Roman" w:hAnsi="Times New Roman" w:cs="Times New Roman"/>
          <w:sz w:val="24"/>
          <w:szCs w:val="24"/>
        </w:rPr>
        <w:t xml:space="preserve"> Community Engagement Scholarship Awards Program sponsored by the Association of Public and Land Grant Universities. She encouraged all committee members to share the RFP with colleagues and s</w:t>
      </w:r>
      <w:r w:rsidR="001A546C" w:rsidRPr="00432530">
        <w:rPr>
          <w:rFonts w:ascii="Times New Roman" w:hAnsi="Times New Roman" w:cs="Times New Roman"/>
          <w:sz w:val="24"/>
          <w:szCs w:val="24"/>
        </w:rPr>
        <w:t>ubmit projects as these internal submissions would increase awareness about current engagement projects</w:t>
      </w:r>
      <w:r w:rsidR="005D68A1" w:rsidRPr="00432530">
        <w:rPr>
          <w:rFonts w:ascii="Times New Roman" w:hAnsi="Times New Roman" w:cs="Times New Roman"/>
          <w:sz w:val="24"/>
          <w:szCs w:val="24"/>
        </w:rPr>
        <w:t xml:space="preserve">. </w:t>
      </w:r>
      <w:r w:rsidR="00F43FE4">
        <w:rPr>
          <w:rFonts w:ascii="Times New Roman" w:hAnsi="Times New Roman" w:cs="Times New Roman"/>
          <w:sz w:val="24"/>
          <w:szCs w:val="24"/>
        </w:rPr>
        <w:t xml:space="preserve"> </w:t>
      </w:r>
      <w:r w:rsidR="005D68A1" w:rsidRPr="00432530">
        <w:rPr>
          <w:rFonts w:ascii="Times New Roman" w:hAnsi="Times New Roman" w:cs="Times New Roman"/>
          <w:sz w:val="24"/>
          <w:szCs w:val="24"/>
        </w:rPr>
        <w:t xml:space="preserve">She also </w:t>
      </w:r>
      <w:r w:rsidR="00F43FE4">
        <w:rPr>
          <w:rFonts w:ascii="Times New Roman" w:hAnsi="Times New Roman" w:cs="Times New Roman"/>
          <w:sz w:val="24"/>
          <w:szCs w:val="24"/>
        </w:rPr>
        <w:t xml:space="preserve">mentioned </w:t>
      </w:r>
      <w:r w:rsidR="005D68A1" w:rsidRPr="00432530">
        <w:rPr>
          <w:rFonts w:ascii="Times New Roman" w:hAnsi="Times New Roman" w:cs="Times New Roman"/>
          <w:sz w:val="24"/>
          <w:szCs w:val="24"/>
        </w:rPr>
        <w:t>that her office would provide assistance in the submission process.</w:t>
      </w:r>
    </w:p>
    <w:p w:rsidR="007960A2" w:rsidRDefault="007960A2" w:rsidP="00F6273A">
      <w:pPr>
        <w:rPr>
          <w:rFonts w:ascii="Times New Roman" w:hAnsi="Times New Roman" w:cs="Times New Roman"/>
          <w:sz w:val="24"/>
          <w:szCs w:val="24"/>
        </w:rPr>
      </w:pPr>
      <w:r w:rsidRPr="00432530">
        <w:rPr>
          <w:rFonts w:ascii="Times New Roman" w:hAnsi="Times New Roman" w:cs="Times New Roman"/>
          <w:sz w:val="24"/>
          <w:szCs w:val="24"/>
        </w:rPr>
        <w:lastRenderedPageBreak/>
        <w:t xml:space="preserve">The meeting adjourned at 3:30 p.m.  Additional discussions were tabled until the next committee meeting which is scheduled for </w:t>
      </w:r>
      <w:r w:rsidRPr="00432530">
        <w:rPr>
          <w:rFonts w:ascii="Times New Roman" w:hAnsi="Times New Roman" w:cs="Times New Roman"/>
          <w:sz w:val="24"/>
          <w:szCs w:val="24"/>
          <w:u w:val="single"/>
        </w:rPr>
        <w:t>April 26</w:t>
      </w:r>
      <w:r w:rsidRPr="00432530">
        <w:rPr>
          <w:rFonts w:ascii="Times New Roman" w:hAnsi="Times New Roman" w:cs="Times New Roman"/>
          <w:sz w:val="24"/>
          <w:szCs w:val="24"/>
          <w:u w:val="single"/>
          <w:vertAlign w:val="superscript"/>
        </w:rPr>
        <w:t>th</w:t>
      </w:r>
      <w:r w:rsidRPr="00432530">
        <w:rPr>
          <w:rFonts w:ascii="Times New Roman" w:hAnsi="Times New Roman" w:cs="Times New Roman"/>
          <w:sz w:val="24"/>
          <w:szCs w:val="24"/>
          <w:u w:val="single"/>
        </w:rPr>
        <w:t>, from</w:t>
      </w:r>
      <w:r w:rsidR="005D68A1" w:rsidRPr="00432530">
        <w:rPr>
          <w:rFonts w:ascii="Times New Roman" w:hAnsi="Times New Roman" w:cs="Times New Roman"/>
          <w:sz w:val="24"/>
          <w:szCs w:val="24"/>
          <w:u w:val="single"/>
        </w:rPr>
        <w:t xml:space="preserve"> 2:30-3:30 p.m</w:t>
      </w:r>
      <w:r w:rsidR="005D68A1" w:rsidRPr="00432530">
        <w:rPr>
          <w:rFonts w:ascii="Times New Roman" w:hAnsi="Times New Roman" w:cs="Times New Roman"/>
          <w:sz w:val="24"/>
          <w:szCs w:val="24"/>
        </w:rPr>
        <w:t>.</w:t>
      </w:r>
      <w:r w:rsidRPr="00432530">
        <w:rPr>
          <w:rFonts w:ascii="Times New Roman" w:hAnsi="Times New Roman" w:cs="Times New Roman"/>
          <w:sz w:val="24"/>
          <w:szCs w:val="24"/>
        </w:rPr>
        <w:t xml:space="preserve"> Dr. Green invited committee members to, in the meantime, </w:t>
      </w:r>
      <w:r w:rsidR="00F43FE4">
        <w:rPr>
          <w:rFonts w:ascii="Times New Roman" w:hAnsi="Times New Roman" w:cs="Times New Roman"/>
          <w:sz w:val="24"/>
          <w:szCs w:val="24"/>
        </w:rPr>
        <w:t xml:space="preserve">share </w:t>
      </w:r>
      <w:r w:rsidRPr="00432530">
        <w:rPr>
          <w:rFonts w:ascii="Times New Roman" w:hAnsi="Times New Roman" w:cs="Times New Roman"/>
          <w:sz w:val="24"/>
          <w:szCs w:val="24"/>
        </w:rPr>
        <w:t xml:space="preserve">any additional thoughts related to the discussions via e-mail.  </w:t>
      </w:r>
    </w:p>
    <w:p w:rsidR="00DB1E5D" w:rsidRDefault="00DB1E5D" w:rsidP="00F6273A">
      <w:pPr>
        <w:rPr>
          <w:rFonts w:ascii="Times New Roman" w:hAnsi="Times New Roman" w:cs="Times New Roman"/>
          <w:sz w:val="24"/>
          <w:szCs w:val="24"/>
        </w:rPr>
      </w:pPr>
      <w:r>
        <w:rPr>
          <w:rFonts w:ascii="Times New Roman" w:hAnsi="Times New Roman" w:cs="Times New Roman"/>
          <w:sz w:val="24"/>
          <w:szCs w:val="24"/>
        </w:rPr>
        <w:t>04/25/16</w:t>
      </w:r>
    </w:p>
    <w:p w:rsidR="004D55A7" w:rsidRDefault="004D55A7" w:rsidP="00F6273A">
      <w:pPr>
        <w:rPr>
          <w:rFonts w:ascii="Times New Roman" w:hAnsi="Times New Roman" w:cs="Times New Roman"/>
          <w:sz w:val="24"/>
          <w:szCs w:val="24"/>
        </w:rPr>
      </w:pPr>
    </w:p>
    <w:p w:rsidR="00364445" w:rsidRDefault="00364445" w:rsidP="00F6273A">
      <w:pPr>
        <w:rPr>
          <w:rFonts w:ascii="Times New Roman" w:hAnsi="Times New Roman" w:cs="Times New Roman"/>
          <w:sz w:val="24"/>
          <w:szCs w:val="24"/>
          <w:u w:val="single"/>
        </w:rPr>
      </w:pPr>
    </w:p>
    <w:p w:rsidR="00364445" w:rsidRDefault="00364445" w:rsidP="00F6273A">
      <w:pPr>
        <w:rPr>
          <w:rFonts w:ascii="Times New Roman" w:hAnsi="Times New Roman" w:cs="Times New Roman"/>
          <w:sz w:val="24"/>
          <w:szCs w:val="24"/>
          <w:u w:val="single"/>
        </w:rPr>
      </w:pPr>
    </w:p>
    <w:p w:rsidR="004D55A7" w:rsidRDefault="004D55A7" w:rsidP="00F6273A">
      <w:pPr>
        <w:rPr>
          <w:rFonts w:ascii="Times New Roman" w:hAnsi="Times New Roman" w:cs="Times New Roman"/>
          <w:sz w:val="24"/>
          <w:szCs w:val="24"/>
        </w:rPr>
      </w:pPr>
      <w:r w:rsidRPr="004D55A7">
        <w:rPr>
          <w:rFonts w:ascii="Times New Roman" w:hAnsi="Times New Roman" w:cs="Times New Roman"/>
          <w:sz w:val="24"/>
          <w:szCs w:val="24"/>
          <w:u w:val="single"/>
        </w:rPr>
        <w:t>Attachments</w:t>
      </w:r>
      <w:r>
        <w:rPr>
          <w:rFonts w:ascii="Times New Roman" w:hAnsi="Times New Roman" w:cs="Times New Roman"/>
          <w:sz w:val="24"/>
          <w:szCs w:val="24"/>
        </w:rPr>
        <w:t>:</w:t>
      </w:r>
    </w:p>
    <w:p w:rsidR="004D55A7" w:rsidRDefault="004D55A7" w:rsidP="00F6273A">
      <w:pPr>
        <w:rPr>
          <w:rFonts w:ascii="Times New Roman" w:hAnsi="Times New Roman" w:cs="Times New Roman"/>
          <w:sz w:val="24"/>
          <w:szCs w:val="24"/>
        </w:rPr>
      </w:pPr>
      <w:r>
        <w:rPr>
          <w:rFonts w:ascii="Times New Roman" w:hAnsi="Times New Roman" w:cs="Times New Roman"/>
          <w:sz w:val="24"/>
          <w:szCs w:val="24"/>
        </w:rPr>
        <w:t>2015 Raiders Engaged Institutional Summary Dashboard</w:t>
      </w:r>
    </w:p>
    <w:p w:rsidR="004D55A7" w:rsidRDefault="004D55A7" w:rsidP="00F6273A">
      <w:pPr>
        <w:rPr>
          <w:rFonts w:ascii="Times New Roman" w:hAnsi="Times New Roman" w:cs="Times New Roman"/>
          <w:sz w:val="24"/>
          <w:szCs w:val="24"/>
        </w:rPr>
      </w:pPr>
      <w:r>
        <w:rPr>
          <w:rFonts w:ascii="Times New Roman" w:hAnsi="Times New Roman" w:cs="Times New Roman"/>
          <w:sz w:val="24"/>
          <w:szCs w:val="24"/>
        </w:rPr>
        <w:t>Forms of Engagement (2015 Raiders Engaged version)</w:t>
      </w:r>
    </w:p>
    <w:p w:rsidR="004D55A7" w:rsidRDefault="004D55A7" w:rsidP="00F6273A">
      <w:pPr>
        <w:rPr>
          <w:rFonts w:ascii="Times New Roman" w:hAnsi="Times New Roman" w:cs="Times New Roman"/>
          <w:sz w:val="24"/>
          <w:szCs w:val="24"/>
        </w:rPr>
      </w:pPr>
      <w:r>
        <w:rPr>
          <w:rFonts w:ascii="Times New Roman" w:hAnsi="Times New Roman" w:cs="Times New Roman"/>
          <w:sz w:val="24"/>
          <w:szCs w:val="24"/>
        </w:rPr>
        <w:t>Carnegie Foundation Engagement Definition (currently used by TTU)</w:t>
      </w:r>
    </w:p>
    <w:p w:rsidR="004D55A7" w:rsidRDefault="004D55A7"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537764" w:rsidRDefault="00537764" w:rsidP="00537764">
      <w:pPr>
        <w:jc w:val="center"/>
        <w:rPr>
          <w:rFonts w:asciiTheme="majorHAnsi" w:hAnsiTheme="majorHAnsi"/>
          <w:b/>
          <w:sz w:val="24"/>
        </w:rPr>
      </w:pPr>
      <w:r>
        <w:rPr>
          <w:noProof/>
        </w:rPr>
        <w:lastRenderedPageBreak/>
        <w:drawing>
          <wp:anchor distT="0" distB="0" distL="114300" distR="114300" simplePos="0" relativeHeight="251659264" behindDoc="1" locked="0" layoutInCell="1" allowOverlap="1" wp14:anchorId="40DB045E" wp14:editId="2D4361E4">
            <wp:simplePos x="0" y="0"/>
            <wp:positionH relativeFrom="column">
              <wp:posOffset>-1217930</wp:posOffset>
            </wp:positionH>
            <wp:positionV relativeFrom="paragraph">
              <wp:posOffset>1383030</wp:posOffset>
            </wp:positionV>
            <wp:extent cx="8488680" cy="6330315"/>
            <wp:effectExtent l="0" t="6668" r="953" b="952"/>
            <wp:wrapTight wrapText="bothSides">
              <wp:wrapPolygon edited="0">
                <wp:start x="-17" y="21577"/>
                <wp:lineTo x="21554" y="21577"/>
                <wp:lineTo x="21554" y="62"/>
                <wp:lineTo x="-17" y="62"/>
                <wp:lineTo x="-17" y="21577"/>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488680" cy="63303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heme="majorHAnsi" w:hAnsiTheme="majorHAnsi"/>
          <w:b/>
          <w:sz w:val="24"/>
        </w:rPr>
        <w:t>Appendix II – Institutional Summary</w:t>
      </w: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1A2297" w:rsidRPr="001A2297" w:rsidRDefault="0042503A" w:rsidP="001A2297">
      <w:pPr>
        <w:jc w:val="center"/>
        <w:rPr>
          <w:rFonts w:cs="Times New Roman"/>
          <w:b/>
        </w:rPr>
      </w:pPr>
      <w:r>
        <w:rPr>
          <w:rFonts w:cs="Times New Roman"/>
          <w:b/>
        </w:rPr>
        <w:t xml:space="preserve">2015 </w:t>
      </w:r>
      <w:r w:rsidR="001A2297" w:rsidRPr="001A2297">
        <w:rPr>
          <w:rFonts w:cs="Times New Roman"/>
          <w:b/>
        </w:rPr>
        <w:t xml:space="preserve">Raiders Engaged </w:t>
      </w:r>
      <w:r w:rsidR="001A2297">
        <w:rPr>
          <w:rFonts w:cs="Times New Roman"/>
          <w:b/>
        </w:rPr>
        <w:t>“</w:t>
      </w:r>
      <w:r w:rsidR="001A2297" w:rsidRPr="001A2297">
        <w:rPr>
          <w:rFonts w:cs="Times New Roman"/>
          <w:b/>
        </w:rPr>
        <w:t>Forms of Engagement</w:t>
      </w:r>
      <w:r w:rsidR="001A2297">
        <w:rPr>
          <w:rFonts w:cs="Times New Roman"/>
          <w:b/>
        </w:rPr>
        <w:t>”</w:t>
      </w:r>
    </w:p>
    <w:p w:rsidR="001A2297" w:rsidRPr="001A2297" w:rsidRDefault="001A2297" w:rsidP="001A2297">
      <w:pPr>
        <w:jc w:val="center"/>
        <w:rPr>
          <w:rFonts w:cs="Times New Roman"/>
          <w:b/>
        </w:rPr>
      </w:pPr>
      <w:r w:rsidRPr="001A2297">
        <w:rPr>
          <w:rFonts w:cs="Times New Roman"/>
          <w:b/>
        </w:rPr>
        <w:t>Categories and Definitions</w:t>
      </w:r>
    </w:p>
    <w:tbl>
      <w:tblPr>
        <w:tblStyle w:val="TableGrid"/>
        <w:tblW w:w="9108" w:type="dxa"/>
        <w:tblLook w:val="04A0" w:firstRow="1" w:lastRow="0" w:firstColumn="1" w:lastColumn="0" w:noHBand="0" w:noVBand="1"/>
      </w:tblPr>
      <w:tblGrid>
        <w:gridCol w:w="1964"/>
        <w:gridCol w:w="3814"/>
        <w:gridCol w:w="3330"/>
      </w:tblGrid>
      <w:tr w:rsidR="001A2297" w:rsidRPr="001A2297" w:rsidTr="00131E88">
        <w:tc>
          <w:tcPr>
            <w:tcW w:w="1964" w:type="dxa"/>
          </w:tcPr>
          <w:p w:rsidR="001A2297" w:rsidRPr="0042503A" w:rsidRDefault="001A2297" w:rsidP="0042503A">
            <w:pPr>
              <w:pStyle w:val="NoSpacing"/>
              <w:rPr>
                <w:b/>
              </w:rPr>
            </w:pPr>
            <w:r w:rsidRPr="0042503A">
              <w:rPr>
                <w:b/>
              </w:rPr>
              <w:t>Clinical Service</w:t>
            </w:r>
          </w:p>
          <w:p w:rsidR="001A2297" w:rsidRPr="0042503A" w:rsidRDefault="001A2297" w:rsidP="0042503A">
            <w:pPr>
              <w:pStyle w:val="NoSpacing"/>
              <w:rPr>
                <w:b/>
              </w:rPr>
            </w:pPr>
            <w:r w:rsidRPr="0042503A">
              <w:rPr>
                <w:b/>
              </w:rPr>
              <w:tab/>
            </w:r>
          </w:p>
        </w:tc>
        <w:tc>
          <w:tcPr>
            <w:tcW w:w="3814" w:type="dxa"/>
          </w:tcPr>
          <w:p w:rsidR="001A2297" w:rsidRPr="001A2297" w:rsidRDefault="001A2297" w:rsidP="0042503A">
            <w:pPr>
              <w:pStyle w:val="NoSpacing"/>
            </w:pPr>
            <w:r w:rsidRPr="001A2297">
              <w:t xml:space="preserve">All client and patient (human and animal) care provided by university faculty or staff through unit-sponsored group practice or as part of clinical instruction, and by medical or graduate students as part of their professional education and practice.   </w:t>
            </w:r>
          </w:p>
        </w:tc>
        <w:tc>
          <w:tcPr>
            <w:tcW w:w="3330" w:type="dxa"/>
          </w:tcPr>
          <w:p w:rsidR="001A2297" w:rsidRPr="001A2297" w:rsidRDefault="001A2297" w:rsidP="0042503A">
            <w:pPr>
              <w:pStyle w:val="NoSpacing"/>
              <w:rPr>
                <w:i/>
              </w:rPr>
            </w:pPr>
            <w:r w:rsidRPr="001A2297">
              <w:t>Examples:</w:t>
            </w:r>
            <w:r w:rsidRPr="001A2297">
              <w:rPr>
                <w:i/>
              </w:rPr>
              <w:t xml:space="preserve"> Symptom screening of children exposed to domestic violence; tax or legal clinics for indigent populations; family counseling services.</w:t>
            </w:r>
          </w:p>
          <w:p w:rsidR="001A2297" w:rsidRPr="001A2297" w:rsidRDefault="001A2297" w:rsidP="0042503A">
            <w:pPr>
              <w:pStyle w:val="NoSpacing"/>
            </w:pPr>
          </w:p>
        </w:tc>
      </w:tr>
      <w:tr w:rsidR="001A2297" w:rsidRPr="001A2297" w:rsidTr="00131E88">
        <w:tc>
          <w:tcPr>
            <w:tcW w:w="1964" w:type="dxa"/>
          </w:tcPr>
          <w:p w:rsidR="001A2297" w:rsidRPr="0042503A" w:rsidRDefault="001A2297" w:rsidP="0042503A">
            <w:pPr>
              <w:pStyle w:val="NoSpacing"/>
              <w:rPr>
                <w:b/>
              </w:rPr>
            </w:pPr>
            <w:r w:rsidRPr="0042503A">
              <w:rPr>
                <w:b/>
              </w:rPr>
              <w:t>Engaged Instruction: Credit Courses and Programs</w:t>
            </w:r>
          </w:p>
          <w:p w:rsidR="001A2297" w:rsidRPr="0042503A" w:rsidRDefault="001A2297" w:rsidP="0042503A">
            <w:pPr>
              <w:pStyle w:val="NoSpacing"/>
              <w:rPr>
                <w:b/>
              </w:rPr>
            </w:pPr>
          </w:p>
        </w:tc>
        <w:tc>
          <w:tcPr>
            <w:tcW w:w="3814" w:type="dxa"/>
          </w:tcPr>
          <w:p w:rsidR="001A2297" w:rsidRPr="001A2297" w:rsidRDefault="001A2297" w:rsidP="0042503A">
            <w:pPr>
              <w:pStyle w:val="NoSpacing"/>
            </w:pPr>
            <w:r w:rsidRPr="001A2297">
              <w:t xml:space="preserve">Courses and instructional programs that offer academic credit hours to non-traditional students -  those specifically designed and marketed to serve those who are </w:t>
            </w:r>
            <w:r w:rsidRPr="001A2297">
              <w:rPr>
                <w:u w:val="single"/>
              </w:rPr>
              <w:t xml:space="preserve">neither traditional campus degree seekers nor campus staff. </w:t>
            </w:r>
            <w:r w:rsidRPr="001A2297">
              <w:t xml:space="preserve"> Such courses and programs are often scheduled at times outside of the university’s traditional operating hours or delivered via non-traditional means (online, skype, off-campus). </w:t>
            </w:r>
          </w:p>
        </w:tc>
        <w:tc>
          <w:tcPr>
            <w:tcW w:w="3330" w:type="dxa"/>
          </w:tcPr>
          <w:p w:rsidR="001A2297" w:rsidRPr="001A2297" w:rsidRDefault="001A2297" w:rsidP="0042503A">
            <w:pPr>
              <w:pStyle w:val="NoSpacing"/>
            </w:pPr>
            <w:r w:rsidRPr="001A2297">
              <w:t>Examples</w:t>
            </w:r>
            <w:r w:rsidRPr="001A2297">
              <w:rPr>
                <w:i/>
              </w:rPr>
              <w:t>: A weekend MBA program; an off-campus Master's program in Education offered in a rural area; an online certificate program in human resource management.</w:t>
            </w:r>
          </w:p>
          <w:p w:rsidR="001A2297" w:rsidRPr="001A2297" w:rsidRDefault="001A2297" w:rsidP="0042503A">
            <w:pPr>
              <w:pStyle w:val="NoSpacing"/>
            </w:pPr>
          </w:p>
        </w:tc>
      </w:tr>
      <w:tr w:rsidR="001A2297" w:rsidRPr="001A2297" w:rsidTr="00131E88">
        <w:tc>
          <w:tcPr>
            <w:tcW w:w="1964" w:type="dxa"/>
          </w:tcPr>
          <w:p w:rsidR="001A2297" w:rsidRPr="0042503A" w:rsidRDefault="001A2297" w:rsidP="0042503A">
            <w:pPr>
              <w:pStyle w:val="NoSpacing"/>
              <w:rPr>
                <w:b/>
              </w:rPr>
            </w:pPr>
            <w:r w:rsidRPr="0042503A">
              <w:rPr>
                <w:b/>
              </w:rPr>
              <w:t xml:space="preserve">Engaged Instruction: Noncredit Classes and Programs </w:t>
            </w:r>
          </w:p>
          <w:p w:rsidR="001A2297" w:rsidRPr="0042503A" w:rsidRDefault="001A2297" w:rsidP="0042503A">
            <w:pPr>
              <w:pStyle w:val="NoSpacing"/>
              <w:rPr>
                <w:b/>
              </w:rPr>
            </w:pPr>
          </w:p>
        </w:tc>
        <w:tc>
          <w:tcPr>
            <w:tcW w:w="3814" w:type="dxa"/>
          </w:tcPr>
          <w:p w:rsidR="001A2297" w:rsidRPr="001A2297" w:rsidRDefault="001A2297" w:rsidP="0042503A">
            <w:pPr>
              <w:pStyle w:val="NoSpacing"/>
            </w:pPr>
            <w:r w:rsidRPr="001A2297">
              <w:t xml:space="preserve">Classes and instructional programs designed and marketed specifically to non-traditional learners -those who are neither degree seekers nor on-campus faculty, staff, or students.  These programs typically provide certificates of completion or continuing education units to professionals, career seekers, or lifelong learners, </w:t>
            </w:r>
            <w:r w:rsidRPr="001A2297">
              <w:rPr>
                <w:u w:val="single"/>
              </w:rPr>
              <w:t>but do not provide academic credit.</w:t>
            </w:r>
            <w:r w:rsidRPr="001A2297">
              <w:t xml:space="preserve"> </w:t>
            </w:r>
          </w:p>
          <w:p w:rsidR="001A2297" w:rsidRPr="001A2297" w:rsidRDefault="001A2297" w:rsidP="0042503A">
            <w:pPr>
              <w:pStyle w:val="NoSpacing"/>
            </w:pPr>
          </w:p>
        </w:tc>
        <w:tc>
          <w:tcPr>
            <w:tcW w:w="3330" w:type="dxa"/>
          </w:tcPr>
          <w:p w:rsidR="001A2297" w:rsidRPr="001A2297" w:rsidRDefault="001A2297" w:rsidP="0042503A">
            <w:pPr>
              <w:pStyle w:val="NoSpacing"/>
              <w:rPr>
                <w:i/>
              </w:rPr>
            </w:pPr>
            <w:r w:rsidRPr="001A2297">
              <w:t xml:space="preserve">Examples: </w:t>
            </w:r>
            <w:r w:rsidRPr="001A2297">
              <w:rPr>
                <w:i/>
              </w:rPr>
              <w:t xml:space="preserve">A short-course for engineers on the use of new composite materials; a summer math camp for high school students; a personal enrichment program for older adults; a summer institute for bank executives; a conference on solar technologies  (note: this </w:t>
            </w:r>
            <w:r w:rsidRPr="001A2297">
              <w:rPr>
                <w:i/>
                <w:u w:val="single"/>
              </w:rPr>
              <w:t>does not</w:t>
            </w:r>
            <w:r w:rsidRPr="001A2297">
              <w:rPr>
                <w:i/>
              </w:rPr>
              <w:t xml:space="preserve"> include conferences that are purely designed for academic audiences); a seminar for counseling professionals. </w:t>
            </w:r>
          </w:p>
        </w:tc>
      </w:tr>
      <w:tr w:rsidR="001A2297" w:rsidRPr="001A2297" w:rsidTr="00131E88">
        <w:tc>
          <w:tcPr>
            <w:tcW w:w="1964" w:type="dxa"/>
          </w:tcPr>
          <w:p w:rsidR="001A2297" w:rsidRPr="0042503A" w:rsidRDefault="001A2297" w:rsidP="0042503A">
            <w:pPr>
              <w:pStyle w:val="NoSpacing"/>
              <w:rPr>
                <w:b/>
              </w:rPr>
            </w:pPr>
            <w:r w:rsidRPr="0042503A">
              <w:rPr>
                <w:b/>
              </w:rPr>
              <w:t>Engaged Instruction:  Public Events and Understanding</w:t>
            </w:r>
          </w:p>
          <w:p w:rsidR="001A2297" w:rsidRPr="0042503A" w:rsidRDefault="001A2297" w:rsidP="0042503A">
            <w:pPr>
              <w:pStyle w:val="NoSpacing"/>
              <w:rPr>
                <w:b/>
              </w:rPr>
            </w:pPr>
          </w:p>
        </w:tc>
        <w:tc>
          <w:tcPr>
            <w:tcW w:w="3814" w:type="dxa"/>
          </w:tcPr>
          <w:p w:rsidR="001A2297" w:rsidRPr="001A2297" w:rsidRDefault="001A2297" w:rsidP="0042503A">
            <w:pPr>
              <w:pStyle w:val="NoSpacing"/>
            </w:pPr>
            <w:r w:rsidRPr="001A2297">
              <w:t xml:space="preserve">Academic or administrative resources designed for the general public that include either managed learning environments (e.g., museums, libraries, gardens, galleries, exhibits, expositions, demonstrations, fairs); or educational materials and products accessible through print, radio, television, or web media (e.g., pamphlets, web sites, </w:t>
            </w:r>
            <w:r w:rsidRPr="001A2297">
              <w:lastRenderedPageBreak/>
              <w:t xml:space="preserve">software, CD’s).  The learning experience is often short-term and directed or paced by the learner. </w:t>
            </w:r>
          </w:p>
        </w:tc>
        <w:tc>
          <w:tcPr>
            <w:tcW w:w="3330" w:type="dxa"/>
          </w:tcPr>
          <w:p w:rsidR="001A2297" w:rsidRPr="001A2297" w:rsidRDefault="001A2297" w:rsidP="0042503A">
            <w:pPr>
              <w:pStyle w:val="NoSpacing"/>
              <w:rPr>
                <w:i/>
              </w:rPr>
            </w:pPr>
            <w:r w:rsidRPr="001A2297">
              <w:lastRenderedPageBreak/>
              <w:t xml:space="preserve">Examples:  </w:t>
            </w:r>
            <w:r w:rsidRPr="001A2297">
              <w:rPr>
                <w:i/>
              </w:rPr>
              <w:t>Exhibits, interactive displays, demonstrations, presentations, archival documents that draw on scholarly knowledge but are designed for and accessible by the general public.</w:t>
            </w:r>
            <w:r w:rsidRPr="001A2297">
              <w:t xml:space="preserve">  Pamphlets, booklets, </w:t>
            </w:r>
            <w:r w:rsidRPr="001A2297">
              <w:rPr>
                <w:i/>
              </w:rPr>
              <w:t xml:space="preserve">self-paced online course modules or CD-ROMs on contents of interest to </w:t>
            </w:r>
            <w:r w:rsidRPr="001A2297">
              <w:rPr>
                <w:i/>
              </w:rPr>
              <w:lastRenderedPageBreak/>
              <w:t>the general public (i.e. gardening, shelter construction, organizational skills, travel, etc.), software, or textbooks for lay audiences; Dissemination of knowledge through media such as speaker’s bureaus, TV appearances, newspaper interviews, radio broadcasts, web pages, and podcasts, if scholarly and readily available to the public; popular writings in newsletters, popular press, or practitioner-oriented publications.*</w:t>
            </w:r>
          </w:p>
        </w:tc>
      </w:tr>
      <w:tr w:rsidR="001A2297" w:rsidRPr="001A2297" w:rsidTr="00131E88">
        <w:tc>
          <w:tcPr>
            <w:tcW w:w="1964" w:type="dxa"/>
          </w:tcPr>
          <w:p w:rsidR="001A2297" w:rsidRPr="0042503A" w:rsidRDefault="001A2297" w:rsidP="0042503A">
            <w:pPr>
              <w:pStyle w:val="NoSpacing"/>
              <w:rPr>
                <w:b/>
              </w:rPr>
            </w:pPr>
            <w:r w:rsidRPr="0042503A">
              <w:rPr>
                <w:b/>
              </w:rPr>
              <w:lastRenderedPageBreak/>
              <w:t xml:space="preserve">Experiential or Service Learning*  </w:t>
            </w:r>
          </w:p>
          <w:p w:rsidR="001A2297" w:rsidRPr="0042503A" w:rsidRDefault="001A2297" w:rsidP="0042503A">
            <w:pPr>
              <w:pStyle w:val="NoSpacing"/>
              <w:rPr>
                <w:b/>
              </w:rPr>
            </w:pPr>
          </w:p>
        </w:tc>
        <w:tc>
          <w:tcPr>
            <w:tcW w:w="3814" w:type="dxa"/>
          </w:tcPr>
          <w:p w:rsidR="001A2297" w:rsidRPr="001A2297" w:rsidRDefault="001A2297" w:rsidP="0042503A">
            <w:pPr>
              <w:pStyle w:val="NoSpacing"/>
            </w:pPr>
            <w:r w:rsidRPr="001A2297">
              <w:t>Classes and curricular programs that enable students to learn with and from community partners in a community setting while linking their academic study with civic needs.  Includes any class with a service learning component in which students are asked to reflect on their community practice or make connections between academic content and the community setting.  Activities provide students with academic credit and are conducted under the guidance and supervision of a faculty member.  Also includes study abroad programs with service learning components.  Other forms of experiential learning include career-oriented practicums or internships whether at a local, national, or international location.</w:t>
            </w:r>
          </w:p>
        </w:tc>
        <w:tc>
          <w:tcPr>
            <w:tcW w:w="3330" w:type="dxa"/>
          </w:tcPr>
          <w:p w:rsidR="001A2297" w:rsidRPr="001A2297" w:rsidRDefault="001A2297" w:rsidP="0042503A">
            <w:pPr>
              <w:pStyle w:val="NoSpacing"/>
              <w:rPr>
                <w:i/>
              </w:rPr>
            </w:pPr>
            <w:r w:rsidRPr="001A2297">
              <w:t xml:space="preserve">Examples:  </w:t>
            </w:r>
            <w:r w:rsidRPr="001A2297">
              <w:rPr>
                <w:i/>
              </w:rPr>
              <w:t xml:space="preserve">A student-led after-school health and exercise program for children; a study abroad trip to Mexico involving drinking-well construction  in Mexico; a reading program for pre-school children at a local library; a student internship at a wind power production plant.   </w:t>
            </w:r>
          </w:p>
          <w:p w:rsidR="001A2297" w:rsidRPr="001A2297" w:rsidRDefault="001A2297" w:rsidP="0042503A">
            <w:pPr>
              <w:pStyle w:val="NoSpacing"/>
            </w:pPr>
          </w:p>
        </w:tc>
      </w:tr>
      <w:tr w:rsidR="001A2297" w:rsidRPr="001A2297" w:rsidTr="0042503A">
        <w:trPr>
          <w:trHeight w:val="6200"/>
        </w:trPr>
        <w:tc>
          <w:tcPr>
            <w:tcW w:w="1964" w:type="dxa"/>
          </w:tcPr>
          <w:p w:rsidR="001A2297" w:rsidRPr="0042503A" w:rsidRDefault="001A2297" w:rsidP="0042503A">
            <w:pPr>
              <w:pStyle w:val="NoSpacing"/>
              <w:rPr>
                <w:b/>
              </w:rPr>
            </w:pPr>
            <w:r w:rsidRPr="0042503A">
              <w:rPr>
                <w:b/>
              </w:rPr>
              <w:lastRenderedPageBreak/>
              <w:t>Research and Creative Activity</w:t>
            </w:r>
          </w:p>
          <w:p w:rsidR="001A2297" w:rsidRPr="0042503A" w:rsidRDefault="001A2297" w:rsidP="0042503A">
            <w:pPr>
              <w:pStyle w:val="NoSpacing"/>
              <w:rPr>
                <w:b/>
              </w:rPr>
            </w:pPr>
          </w:p>
        </w:tc>
        <w:tc>
          <w:tcPr>
            <w:tcW w:w="3814" w:type="dxa"/>
          </w:tcPr>
          <w:p w:rsidR="001A2297" w:rsidRPr="001A2297" w:rsidRDefault="001A2297" w:rsidP="0042503A">
            <w:pPr>
              <w:pStyle w:val="NoSpacing"/>
            </w:pPr>
            <w:r w:rsidRPr="001A2297">
              <w:rPr>
                <w:u w:val="single"/>
              </w:rPr>
              <w:t>Research:</w:t>
            </w:r>
            <w:r w:rsidRPr="001A2297">
              <w:t xml:space="preserve"> Applied or community-based research specifically targeted at </w:t>
            </w:r>
            <w:r w:rsidRPr="001A2297">
              <w:rPr>
                <w:u w:val="single"/>
              </w:rPr>
              <w:t>a community-defined problem</w:t>
            </w:r>
            <w:r w:rsidRPr="001A2297">
              <w:t xml:space="preserve"> and intended to have a </w:t>
            </w:r>
            <w:r w:rsidRPr="001A2297">
              <w:rPr>
                <w:u w:val="single"/>
              </w:rPr>
              <w:t>direct impact</w:t>
            </w:r>
            <w:r w:rsidRPr="001A2297">
              <w:t xml:space="preserve"> on a specific community while creating new knowledge for the community and the discipline (for potentially broader societal applications).  Also includes capacity-building, evaluation and impact assessments, as well as technology transfer.  May be funded through grants or contracts from government agencies, businesses, community-based organizations, nonprofit agencies, or foundations.</w:t>
            </w:r>
          </w:p>
          <w:p w:rsidR="001A2297" w:rsidRPr="001A2297" w:rsidRDefault="001A2297" w:rsidP="0042503A">
            <w:pPr>
              <w:pStyle w:val="NoSpacing"/>
            </w:pPr>
          </w:p>
          <w:p w:rsidR="001A2297" w:rsidRPr="001A2297" w:rsidRDefault="001A2297" w:rsidP="0042503A">
            <w:pPr>
              <w:pStyle w:val="NoSpacing"/>
            </w:pPr>
            <w:r w:rsidRPr="001A2297">
              <w:rPr>
                <w:u w:val="single"/>
              </w:rPr>
              <w:t>Creative Activity</w:t>
            </w:r>
            <w:r w:rsidRPr="001A2297">
              <w:t>:  Original creations of literary, fine, performing, or applied arts and other expressions of creative disciplines or fields at the university that are made available to or generated in collaboration w</w:t>
            </w:r>
            <w:r w:rsidR="0042503A">
              <w:t>ith external, public audiences.</w:t>
            </w:r>
          </w:p>
        </w:tc>
        <w:tc>
          <w:tcPr>
            <w:tcW w:w="3330" w:type="dxa"/>
          </w:tcPr>
          <w:p w:rsidR="001A2297" w:rsidRPr="001A2297" w:rsidRDefault="001A2297" w:rsidP="0042503A">
            <w:pPr>
              <w:pStyle w:val="NoSpacing"/>
              <w:rPr>
                <w:i/>
              </w:rPr>
            </w:pPr>
            <w:r w:rsidRPr="001A2297">
              <w:t xml:space="preserve">Examples:  </w:t>
            </w:r>
            <w:r w:rsidRPr="001A2297">
              <w:rPr>
                <w:i/>
              </w:rPr>
              <w:t>A</w:t>
            </w:r>
            <w:r w:rsidRPr="001A2297">
              <w:t xml:space="preserve"> </w:t>
            </w:r>
            <w:r w:rsidRPr="001A2297">
              <w:rPr>
                <w:i/>
              </w:rPr>
              <w:t xml:space="preserve">U.S. Beef Processing Study for Food Industry Specialists; a community garden project in a “food-arm” neighborhood; an after-school mentoring program for educationally disadvantaged students. </w:t>
            </w:r>
          </w:p>
          <w:p w:rsidR="001A2297" w:rsidRPr="001A2297" w:rsidRDefault="001A2297" w:rsidP="0042503A">
            <w:pPr>
              <w:pStyle w:val="NoSpacing"/>
              <w:rPr>
                <w:i/>
              </w:rPr>
            </w:pPr>
          </w:p>
          <w:p w:rsidR="001A2297" w:rsidRPr="001A2297" w:rsidRDefault="001A2297" w:rsidP="0042503A">
            <w:pPr>
              <w:pStyle w:val="NoSpacing"/>
              <w:rPr>
                <w:i/>
              </w:rPr>
            </w:pPr>
          </w:p>
          <w:p w:rsidR="001A2297" w:rsidRPr="001A2297" w:rsidRDefault="001A2297" w:rsidP="0042503A">
            <w:pPr>
              <w:pStyle w:val="NoSpacing"/>
              <w:rPr>
                <w:i/>
              </w:rPr>
            </w:pPr>
          </w:p>
          <w:p w:rsidR="001A2297" w:rsidRPr="001A2297" w:rsidRDefault="001A2297" w:rsidP="0042503A">
            <w:pPr>
              <w:pStyle w:val="NoSpacing"/>
              <w:rPr>
                <w:i/>
              </w:rPr>
            </w:pPr>
          </w:p>
          <w:p w:rsidR="001A2297" w:rsidRPr="001A2297" w:rsidRDefault="001A2297" w:rsidP="0042503A">
            <w:pPr>
              <w:pStyle w:val="NoSpacing"/>
              <w:rPr>
                <w:i/>
              </w:rPr>
            </w:pPr>
          </w:p>
          <w:p w:rsidR="001A2297" w:rsidRPr="001A2297" w:rsidRDefault="001A2297" w:rsidP="0042503A">
            <w:pPr>
              <w:pStyle w:val="NoSpacing"/>
              <w:rPr>
                <w:i/>
              </w:rPr>
            </w:pPr>
          </w:p>
          <w:p w:rsidR="001A2297" w:rsidRPr="001A2297" w:rsidRDefault="001A2297" w:rsidP="0042503A">
            <w:pPr>
              <w:pStyle w:val="NoSpacing"/>
              <w:rPr>
                <w:i/>
              </w:rPr>
            </w:pPr>
          </w:p>
          <w:p w:rsidR="001A2297" w:rsidRPr="001A2297" w:rsidRDefault="001A2297" w:rsidP="0042503A">
            <w:pPr>
              <w:pStyle w:val="NoSpacing"/>
            </w:pPr>
            <w:r w:rsidRPr="001A2297">
              <w:t xml:space="preserve">Examples:  </w:t>
            </w:r>
            <w:r w:rsidRPr="001A2297">
              <w:rPr>
                <w:i/>
              </w:rPr>
              <w:t>community performances; after school enrichment programs in theatre, dance, music, or the ar</w:t>
            </w:r>
            <w:r>
              <w:rPr>
                <w:i/>
              </w:rPr>
              <w:t>ts; film and video productions.</w:t>
            </w:r>
          </w:p>
        </w:tc>
      </w:tr>
      <w:tr w:rsidR="001A2297" w:rsidRPr="001A2297" w:rsidTr="0042503A">
        <w:trPr>
          <w:trHeight w:val="1430"/>
        </w:trPr>
        <w:tc>
          <w:tcPr>
            <w:tcW w:w="1964" w:type="dxa"/>
          </w:tcPr>
          <w:p w:rsidR="001A2297" w:rsidRPr="0042503A" w:rsidRDefault="001A2297" w:rsidP="0042503A">
            <w:pPr>
              <w:pStyle w:val="NoSpacing"/>
              <w:rPr>
                <w:b/>
              </w:rPr>
            </w:pPr>
            <w:r w:rsidRPr="0042503A">
              <w:rPr>
                <w:b/>
              </w:rPr>
              <w:t>Service on Boards and Committees</w:t>
            </w:r>
          </w:p>
        </w:tc>
        <w:tc>
          <w:tcPr>
            <w:tcW w:w="3814" w:type="dxa"/>
          </w:tcPr>
          <w:p w:rsidR="001A2297" w:rsidRPr="001A2297" w:rsidRDefault="001A2297" w:rsidP="0042503A">
            <w:pPr>
              <w:pStyle w:val="NoSpacing"/>
            </w:pPr>
            <w:r w:rsidRPr="001A2297">
              <w:t xml:space="preserve">Contributions of scholarly or professional expertise by faculty or staff to non-university audiences on an ad hoc or ongoing basis via local, national, or international boards or committees. </w:t>
            </w:r>
          </w:p>
        </w:tc>
        <w:tc>
          <w:tcPr>
            <w:tcW w:w="3330" w:type="dxa"/>
          </w:tcPr>
          <w:p w:rsidR="001A2297" w:rsidRPr="001A2297" w:rsidRDefault="001A2297" w:rsidP="0042503A">
            <w:pPr>
              <w:pStyle w:val="NoSpacing"/>
            </w:pPr>
            <w:r w:rsidRPr="001A2297">
              <w:t xml:space="preserve">Examples: </w:t>
            </w:r>
            <w:r w:rsidRPr="001A2297">
              <w:rPr>
                <w:i/>
              </w:rPr>
              <w:t>Service on Child Protective Services Board; Participation in ad hoc committee on addressing gang violence in certain parts of the city.</w:t>
            </w:r>
            <w:r>
              <w:t xml:space="preserve"> </w:t>
            </w:r>
          </w:p>
        </w:tc>
      </w:tr>
      <w:tr w:rsidR="001A2297" w:rsidRPr="001A2297" w:rsidTr="00131E88">
        <w:tc>
          <w:tcPr>
            <w:tcW w:w="1964" w:type="dxa"/>
          </w:tcPr>
          <w:p w:rsidR="001A2297" w:rsidRPr="0042503A" w:rsidRDefault="001A2297" w:rsidP="0042503A">
            <w:pPr>
              <w:pStyle w:val="NoSpacing"/>
              <w:rPr>
                <w:b/>
              </w:rPr>
            </w:pPr>
            <w:r w:rsidRPr="0042503A">
              <w:rPr>
                <w:b/>
              </w:rPr>
              <w:t>Technical or Expert Assistance</w:t>
            </w:r>
          </w:p>
          <w:p w:rsidR="001A2297" w:rsidRPr="0042503A" w:rsidRDefault="001A2297" w:rsidP="0042503A">
            <w:pPr>
              <w:pStyle w:val="NoSpacing"/>
              <w:rPr>
                <w:b/>
              </w:rPr>
            </w:pPr>
          </w:p>
        </w:tc>
        <w:tc>
          <w:tcPr>
            <w:tcW w:w="3814" w:type="dxa"/>
          </w:tcPr>
          <w:p w:rsidR="001A2297" w:rsidRPr="001A2297" w:rsidRDefault="001A2297" w:rsidP="0042503A">
            <w:pPr>
              <w:pStyle w:val="NoSpacing"/>
            </w:pPr>
            <w:r w:rsidRPr="001A2297">
              <w:t xml:space="preserve">Activities in which faculty or staff respond to requests from individuals, programs, or agencies and organizations external to the university by sharing their knowledge, expertise, and skills in order to help those entities achieve their goals.  There is direct interaction with the external constituency (as opposed to responding by delivering a pamphlet or reference to a Web site or the like). </w:t>
            </w:r>
          </w:p>
        </w:tc>
        <w:tc>
          <w:tcPr>
            <w:tcW w:w="3330" w:type="dxa"/>
          </w:tcPr>
          <w:p w:rsidR="001A2297" w:rsidRPr="001A2297" w:rsidRDefault="001A2297" w:rsidP="0042503A">
            <w:pPr>
              <w:pStyle w:val="NoSpacing"/>
              <w:rPr>
                <w:i/>
              </w:rPr>
            </w:pPr>
            <w:r w:rsidRPr="001A2297">
              <w:t xml:space="preserve">Examples: </w:t>
            </w:r>
            <w:r w:rsidRPr="001A2297">
              <w:rPr>
                <w:i/>
              </w:rPr>
              <w:t xml:space="preserve"> Providing expertise to address or improve the effectiveness and efficiency of an organization or to improve knowledge and skills; providing expert testimony and other forms of legal advice; consulting work for the benefit of the constituent; assisting agencies or businesses with analyzing production processes. </w:t>
            </w:r>
          </w:p>
          <w:p w:rsidR="001A2297" w:rsidRPr="001A2297" w:rsidRDefault="001A2297" w:rsidP="0042503A">
            <w:pPr>
              <w:pStyle w:val="NoSpacing"/>
            </w:pPr>
          </w:p>
        </w:tc>
      </w:tr>
    </w:tbl>
    <w:p w:rsidR="001A2297" w:rsidRDefault="001A2297" w:rsidP="00F6273A">
      <w:pPr>
        <w:rPr>
          <w:rFonts w:ascii="Times New Roman" w:hAnsi="Times New Roman" w:cs="Times New Roman"/>
          <w:sz w:val="24"/>
          <w:szCs w:val="24"/>
        </w:rPr>
      </w:pPr>
    </w:p>
    <w:p w:rsidR="0042503A" w:rsidRDefault="0042503A" w:rsidP="001A2297">
      <w:pPr>
        <w:jc w:val="center"/>
        <w:rPr>
          <w:rFonts w:eastAsia="Times New Roman" w:cstheme="minorHAnsi"/>
          <w:b/>
        </w:rPr>
      </w:pPr>
    </w:p>
    <w:p w:rsidR="0042503A" w:rsidRDefault="0042503A" w:rsidP="001A2297">
      <w:pPr>
        <w:jc w:val="center"/>
        <w:rPr>
          <w:rFonts w:eastAsia="Times New Roman" w:cstheme="minorHAnsi"/>
          <w:b/>
        </w:rPr>
      </w:pPr>
    </w:p>
    <w:p w:rsidR="0042503A" w:rsidRDefault="0042503A" w:rsidP="001A2297">
      <w:pPr>
        <w:jc w:val="center"/>
        <w:rPr>
          <w:rFonts w:eastAsia="Times New Roman" w:cstheme="minorHAnsi"/>
          <w:b/>
        </w:rPr>
      </w:pPr>
    </w:p>
    <w:p w:rsidR="001A2297" w:rsidRDefault="001A2297" w:rsidP="001A2297">
      <w:pPr>
        <w:jc w:val="center"/>
        <w:rPr>
          <w:rFonts w:eastAsia="Times New Roman" w:cstheme="minorHAnsi"/>
          <w:b/>
        </w:rPr>
      </w:pPr>
      <w:r>
        <w:rPr>
          <w:rFonts w:eastAsia="Times New Roman" w:cstheme="minorHAnsi"/>
          <w:b/>
        </w:rPr>
        <w:lastRenderedPageBreak/>
        <w:t>DEFINTION OF ENGAGEMENT (CURRENTLY USED BY TTU)</w:t>
      </w:r>
    </w:p>
    <w:p w:rsidR="001A2297" w:rsidRPr="0074705B" w:rsidRDefault="001A2297" w:rsidP="001A2297">
      <w:pPr>
        <w:jc w:val="center"/>
        <w:rPr>
          <w:rFonts w:eastAsia="Times New Roman" w:cstheme="minorHAnsi"/>
          <w:b/>
        </w:rPr>
      </w:pPr>
    </w:p>
    <w:p w:rsidR="001A2297" w:rsidRPr="0074705B" w:rsidRDefault="001A2297" w:rsidP="001A2297">
      <w:pPr>
        <w:rPr>
          <w:rFonts w:eastAsia="Times New Roman" w:cstheme="minorHAnsi"/>
          <w:sz w:val="24"/>
          <w:szCs w:val="24"/>
        </w:rPr>
      </w:pPr>
      <w:r w:rsidRPr="0074705B">
        <w:rPr>
          <w:rFonts w:eastAsia="Times New Roman" w:cstheme="minorHAnsi"/>
          <w:b/>
          <w:sz w:val="24"/>
          <w:szCs w:val="24"/>
        </w:rPr>
        <w:t>Community Engagement</w:t>
      </w:r>
      <w:r w:rsidRPr="0074705B">
        <w:rPr>
          <w:rFonts w:eastAsia="Times New Roman" w:cstheme="minorHAnsi"/>
          <w:sz w:val="24"/>
          <w:szCs w:val="24"/>
        </w:rPr>
        <w:t xml:space="preserve"> describes the collaboration between institutions of higher education and their larger communities (local, regional/state, national, global) for the mutually beneficial exchange of knowledge and resources in a context of partnership and reciprocity. </w:t>
      </w:r>
    </w:p>
    <w:p w:rsidR="0042503A" w:rsidRDefault="001A2297" w:rsidP="001A2297">
      <w:pPr>
        <w:rPr>
          <w:rFonts w:eastAsia="Times New Roman" w:cstheme="minorHAnsi"/>
          <w:sz w:val="24"/>
          <w:szCs w:val="24"/>
        </w:rPr>
      </w:pPr>
      <w:r w:rsidRPr="0074705B">
        <w:rPr>
          <w:rFonts w:eastAsia="Times New Roman" w:cstheme="minorHAnsi"/>
          <w:sz w:val="24"/>
          <w:szCs w:val="24"/>
        </w:rPr>
        <w:t xml:space="preserve">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 </w:t>
      </w:r>
    </w:p>
    <w:p w:rsidR="001A2297" w:rsidRPr="0074705B" w:rsidRDefault="00EA3DB8" w:rsidP="001A2297">
      <w:pPr>
        <w:rPr>
          <w:sz w:val="24"/>
          <w:szCs w:val="24"/>
        </w:rPr>
      </w:pPr>
      <w:hyperlink r:id="rId9" w:history="1">
        <w:r w:rsidR="001A2297" w:rsidRPr="0074705B">
          <w:rPr>
            <w:rStyle w:val="Hyperlink"/>
            <w:rFonts w:eastAsia="Times New Roman" w:cstheme="minorHAnsi"/>
            <w:sz w:val="24"/>
            <w:szCs w:val="24"/>
          </w:rPr>
          <w:t>http://classifications.carnegiefoundation.org/descriptions/community_engagement.php</w:t>
        </w:r>
      </w:hyperlink>
    </w:p>
    <w:p w:rsidR="001A2297" w:rsidRDefault="001A2297" w:rsidP="00F6273A">
      <w:pPr>
        <w:rPr>
          <w:rFonts w:ascii="Times New Roman" w:hAnsi="Times New Roman" w:cs="Times New Roman"/>
          <w:sz w:val="24"/>
          <w:szCs w:val="24"/>
        </w:rPr>
      </w:pPr>
    </w:p>
    <w:p w:rsidR="001A2297" w:rsidRDefault="001A2297"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Default="00004C11" w:rsidP="00F6273A">
      <w:pPr>
        <w:rPr>
          <w:rFonts w:ascii="Times New Roman" w:hAnsi="Times New Roman" w:cs="Times New Roman"/>
          <w:sz w:val="24"/>
          <w:szCs w:val="24"/>
        </w:rPr>
      </w:pPr>
    </w:p>
    <w:p w:rsidR="00004C11" w:rsidRPr="00432530" w:rsidRDefault="00004C11" w:rsidP="00F6273A">
      <w:pPr>
        <w:rPr>
          <w:rFonts w:ascii="Times New Roman" w:hAnsi="Times New Roman" w:cs="Times New Roman"/>
          <w:sz w:val="24"/>
          <w:szCs w:val="24"/>
        </w:rPr>
      </w:pPr>
    </w:p>
    <w:sectPr w:rsidR="00004C11" w:rsidRPr="004325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B8" w:rsidRDefault="00EA3DB8" w:rsidP="00DB1E5D">
      <w:pPr>
        <w:spacing w:after="0" w:line="240" w:lineRule="auto"/>
      </w:pPr>
      <w:r>
        <w:separator/>
      </w:r>
    </w:p>
  </w:endnote>
  <w:endnote w:type="continuationSeparator" w:id="0">
    <w:p w:rsidR="00EA3DB8" w:rsidRDefault="00EA3DB8" w:rsidP="00DB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33625"/>
      <w:docPartObj>
        <w:docPartGallery w:val="Page Numbers (Bottom of Page)"/>
        <w:docPartUnique/>
      </w:docPartObj>
    </w:sdtPr>
    <w:sdtEndPr>
      <w:rPr>
        <w:noProof/>
      </w:rPr>
    </w:sdtEndPr>
    <w:sdtContent>
      <w:p w:rsidR="00DB1E5D" w:rsidRDefault="00DB1E5D">
        <w:pPr>
          <w:pStyle w:val="Footer"/>
          <w:jc w:val="center"/>
        </w:pPr>
        <w:r>
          <w:fldChar w:fldCharType="begin"/>
        </w:r>
        <w:r>
          <w:instrText xml:space="preserve"> PAGE   \* MERGEFORMAT </w:instrText>
        </w:r>
        <w:r>
          <w:fldChar w:fldCharType="separate"/>
        </w:r>
        <w:r w:rsidR="005A3AB2">
          <w:rPr>
            <w:noProof/>
          </w:rPr>
          <w:t>1</w:t>
        </w:r>
        <w:r>
          <w:rPr>
            <w:noProof/>
          </w:rPr>
          <w:fldChar w:fldCharType="end"/>
        </w:r>
      </w:p>
    </w:sdtContent>
  </w:sdt>
  <w:p w:rsidR="00DB1E5D" w:rsidRDefault="00DB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B8" w:rsidRDefault="00EA3DB8" w:rsidP="00DB1E5D">
      <w:pPr>
        <w:spacing w:after="0" w:line="240" w:lineRule="auto"/>
      </w:pPr>
      <w:r>
        <w:separator/>
      </w:r>
    </w:p>
  </w:footnote>
  <w:footnote w:type="continuationSeparator" w:id="0">
    <w:p w:rsidR="00EA3DB8" w:rsidRDefault="00EA3DB8" w:rsidP="00DB1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7EA6"/>
    <w:multiLevelType w:val="hybridMultilevel"/>
    <w:tmpl w:val="CF8E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F153A"/>
    <w:multiLevelType w:val="hybridMultilevel"/>
    <w:tmpl w:val="00E6D5D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38"/>
    <w:rsid w:val="00004C11"/>
    <w:rsid w:val="00027679"/>
    <w:rsid w:val="000B62CB"/>
    <w:rsid w:val="001478EB"/>
    <w:rsid w:val="00153BDC"/>
    <w:rsid w:val="001A1068"/>
    <w:rsid w:val="001A2297"/>
    <w:rsid w:val="001A546C"/>
    <w:rsid w:val="001E1E32"/>
    <w:rsid w:val="001E464A"/>
    <w:rsid w:val="001E676E"/>
    <w:rsid w:val="00285904"/>
    <w:rsid w:val="00290638"/>
    <w:rsid w:val="002B5E5D"/>
    <w:rsid w:val="00364445"/>
    <w:rsid w:val="00377E5E"/>
    <w:rsid w:val="00384D62"/>
    <w:rsid w:val="00403AAD"/>
    <w:rsid w:val="0042503A"/>
    <w:rsid w:val="00432530"/>
    <w:rsid w:val="00480641"/>
    <w:rsid w:val="00496C38"/>
    <w:rsid w:val="004D55A7"/>
    <w:rsid w:val="00537764"/>
    <w:rsid w:val="00545F9C"/>
    <w:rsid w:val="005A3AB2"/>
    <w:rsid w:val="005D68A1"/>
    <w:rsid w:val="005E3CDC"/>
    <w:rsid w:val="005E4D22"/>
    <w:rsid w:val="00607EBA"/>
    <w:rsid w:val="00646599"/>
    <w:rsid w:val="00646FC5"/>
    <w:rsid w:val="006560D3"/>
    <w:rsid w:val="00680818"/>
    <w:rsid w:val="006B5B6A"/>
    <w:rsid w:val="007960A2"/>
    <w:rsid w:val="007B1082"/>
    <w:rsid w:val="007D11DA"/>
    <w:rsid w:val="00890A76"/>
    <w:rsid w:val="00960E7C"/>
    <w:rsid w:val="0097536E"/>
    <w:rsid w:val="009E16AF"/>
    <w:rsid w:val="00A126B4"/>
    <w:rsid w:val="00A41B15"/>
    <w:rsid w:val="00A47056"/>
    <w:rsid w:val="00AC6D2A"/>
    <w:rsid w:val="00AE09A3"/>
    <w:rsid w:val="00AF0B57"/>
    <w:rsid w:val="00B01D49"/>
    <w:rsid w:val="00B32D21"/>
    <w:rsid w:val="00B33FEF"/>
    <w:rsid w:val="00B344A3"/>
    <w:rsid w:val="00B82D41"/>
    <w:rsid w:val="00BA2D38"/>
    <w:rsid w:val="00BA6320"/>
    <w:rsid w:val="00CD0401"/>
    <w:rsid w:val="00CF184F"/>
    <w:rsid w:val="00D02A1B"/>
    <w:rsid w:val="00DB1E5D"/>
    <w:rsid w:val="00DE6658"/>
    <w:rsid w:val="00EA3DB8"/>
    <w:rsid w:val="00F2496A"/>
    <w:rsid w:val="00F27B05"/>
    <w:rsid w:val="00F34885"/>
    <w:rsid w:val="00F43FE4"/>
    <w:rsid w:val="00F6273A"/>
    <w:rsid w:val="00F71297"/>
    <w:rsid w:val="00FB5C86"/>
    <w:rsid w:val="00FC1095"/>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3C436-4F7C-4B68-8771-615E1B1E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38"/>
    <w:pPr>
      <w:ind w:left="720"/>
      <w:contextualSpacing/>
    </w:pPr>
  </w:style>
  <w:style w:type="paragraph" w:styleId="Header">
    <w:name w:val="header"/>
    <w:basedOn w:val="Normal"/>
    <w:link w:val="HeaderChar"/>
    <w:uiPriority w:val="99"/>
    <w:unhideWhenUsed/>
    <w:rsid w:val="00DB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5D"/>
  </w:style>
  <w:style w:type="paragraph" w:styleId="Footer">
    <w:name w:val="footer"/>
    <w:basedOn w:val="Normal"/>
    <w:link w:val="FooterChar"/>
    <w:uiPriority w:val="99"/>
    <w:unhideWhenUsed/>
    <w:rsid w:val="00DB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5D"/>
  </w:style>
  <w:style w:type="character" w:styleId="Hyperlink">
    <w:name w:val="Hyperlink"/>
    <w:basedOn w:val="DefaultParagraphFont"/>
    <w:uiPriority w:val="99"/>
    <w:unhideWhenUsed/>
    <w:rsid w:val="00004C11"/>
    <w:rPr>
      <w:color w:val="0563C1" w:themeColor="hyperlink"/>
      <w:u w:val="single"/>
    </w:rPr>
  </w:style>
  <w:style w:type="table" w:styleId="TableGrid">
    <w:name w:val="Table Grid"/>
    <w:basedOn w:val="TableNormal"/>
    <w:uiPriority w:val="59"/>
    <w:rsid w:val="001A22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assifications.carnegiefoundation.org/descriptions/community_engag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C781-0EEB-486A-8372-BB564956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Karki, Sadikshya</dc:creator>
  <cp:keywords/>
  <dc:description/>
  <cp:lastModifiedBy>Green, Birgit</cp:lastModifiedBy>
  <cp:revision>2</cp:revision>
  <dcterms:created xsi:type="dcterms:W3CDTF">2016-08-11T20:19:00Z</dcterms:created>
  <dcterms:modified xsi:type="dcterms:W3CDTF">2016-08-11T20:19:00Z</dcterms:modified>
</cp:coreProperties>
</file>