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94791" w14:textId="143EA040" w:rsidR="00C268AD" w:rsidRPr="00840B03" w:rsidRDefault="007204BA" w:rsidP="00335212">
      <w:pPr>
        <w:pStyle w:val="Heading1"/>
        <w:rPr>
          <w:rFonts w:ascii="Arial Nova" w:hAnsi="Arial Nova"/>
          <w:b/>
          <w:bCs/>
          <w:color w:val="000000" w:themeColor="text1"/>
          <w:sz w:val="36"/>
          <w:szCs w:val="36"/>
        </w:rPr>
      </w:pPr>
      <w:r w:rsidRPr="00840B03">
        <w:rPr>
          <w:rFonts w:ascii="Arial Nova" w:hAnsi="Arial Nova" w:cstheme="minorHAnsi"/>
          <w:b/>
          <w:bCs/>
          <w:noProof/>
          <w:color w:val="000000" w:themeColor="text1"/>
          <w:sz w:val="36"/>
          <w:szCs w:val="36"/>
        </w:rPr>
        <w:drawing>
          <wp:anchor distT="0" distB="0" distL="114300" distR="114300" simplePos="0" relativeHeight="251658242" behindDoc="0" locked="0" layoutInCell="1" allowOverlap="1" wp14:anchorId="41967D62" wp14:editId="2B318250">
            <wp:simplePos x="0" y="0"/>
            <wp:positionH relativeFrom="column">
              <wp:posOffset>0</wp:posOffset>
            </wp:positionH>
            <wp:positionV relativeFrom="paragraph">
              <wp:posOffset>91440</wp:posOffset>
            </wp:positionV>
            <wp:extent cx="1033272" cy="1143000"/>
            <wp:effectExtent l="0" t="0" r="0" b="0"/>
            <wp:wrapSquare wrapText="bothSides"/>
            <wp:docPr id="225049445" name="Picture 31" descr="Texas Tech Graduate Writing Center logo">
              <a:extLst xmlns:a="http://schemas.openxmlformats.org/drawingml/2006/main">
                <a:ext uri="{FF2B5EF4-FFF2-40B4-BE49-F238E27FC236}">
                  <a16:creationId xmlns:a16="http://schemas.microsoft.com/office/drawing/2014/main" id="{E20C8D1B-1D8A-46C6-9213-E0702669FE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049445" name="Picture 31" descr="Texas Tech Graduate Writing Center logo"/>
                    <pic:cNvPicPr/>
                  </pic:nvPicPr>
                  <pic:blipFill rotWithShape="1">
                    <a:blip r:embed="rId11" cstate="print">
                      <a:extLst>
                        <a:ext uri="{28A0092B-C50C-407E-A947-70E740481C1C}">
                          <a14:useLocalDpi xmlns:a14="http://schemas.microsoft.com/office/drawing/2010/main" val="0"/>
                        </a:ext>
                      </a:extLst>
                    </a:blip>
                    <a:srcRect b="26571"/>
                    <a:stretch/>
                  </pic:blipFill>
                  <pic:spPr bwMode="auto">
                    <a:xfrm>
                      <a:off x="0" y="0"/>
                      <a:ext cx="1033272"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68AD" w:rsidRPr="00840B03">
        <w:rPr>
          <w:rFonts w:ascii="Arial Nova" w:hAnsi="Arial Nova"/>
          <w:b/>
          <w:bCs/>
          <w:color w:val="000000" w:themeColor="text1"/>
          <w:sz w:val="36"/>
          <w:szCs w:val="36"/>
        </w:rPr>
        <w:t xml:space="preserve">Relative Clauses: Restrictive and </w:t>
      </w:r>
      <w:proofErr w:type="gramStart"/>
      <w:r w:rsidR="00C268AD" w:rsidRPr="00840B03">
        <w:rPr>
          <w:rFonts w:ascii="Arial Nova" w:hAnsi="Arial Nova"/>
          <w:b/>
          <w:bCs/>
          <w:color w:val="000000" w:themeColor="text1"/>
          <w:sz w:val="36"/>
          <w:szCs w:val="36"/>
        </w:rPr>
        <w:t>Non-restrictive</w:t>
      </w:r>
      <w:proofErr w:type="gramEnd"/>
    </w:p>
    <w:p w14:paraId="7531709D" w14:textId="2462701D" w:rsidR="00C268AD" w:rsidRPr="00FD6AF0" w:rsidRDefault="00C268AD" w:rsidP="00840B03">
      <w:pPr>
        <w:spacing w:after="240"/>
        <w:ind w:left="1440"/>
        <w:rPr>
          <w:rFonts w:ascii="Arial Nova" w:hAnsi="Arial Nova"/>
        </w:rPr>
      </w:pPr>
      <w:r w:rsidRPr="00FD6AF0">
        <w:rPr>
          <w:rFonts w:ascii="Arial Nova" w:hAnsi="Arial Nova"/>
        </w:rPr>
        <w:t xml:space="preserve">Relative clauses </w:t>
      </w:r>
      <w:r w:rsidR="00C824F2" w:rsidRPr="00FD6AF0">
        <w:rPr>
          <w:rFonts w:ascii="Arial Nova" w:hAnsi="Arial Nova"/>
        </w:rPr>
        <w:t xml:space="preserve">add additional information about just one part of </w:t>
      </w:r>
      <w:r w:rsidR="00A55500" w:rsidRPr="00FD6AF0">
        <w:rPr>
          <w:rFonts w:ascii="Arial Nova" w:hAnsi="Arial Nova"/>
        </w:rPr>
        <w:t>a sentence.</w:t>
      </w:r>
      <w:r w:rsidR="00C824F2" w:rsidRPr="00FD6AF0">
        <w:rPr>
          <w:rFonts w:ascii="Arial Nova" w:hAnsi="Arial Nova"/>
        </w:rPr>
        <w:t xml:space="preserve"> They can come in one of two forms: restrictive or non-restrictive.</w:t>
      </w:r>
      <w:r w:rsidR="004C0956" w:rsidRPr="00FD6AF0">
        <w:rPr>
          <w:rFonts w:ascii="Arial Nova" w:hAnsi="Arial Nova"/>
        </w:rPr>
        <w:t xml:space="preserve"> </w:t>
      </w:r>
      <w:r w:rsidR="004E7DAC" w:rsidRPr="00FD6AF0">
        <w:rPr>
          <w:rFonts w:ascii="Arial Nova" w:hAnsi="Arial Nova"/>
        </w:rPr>
        <w:t>The</w:t>
      </w:r>
      <w:r w:rsidR="00671398" w:rsidRPr="00FD6AF0">
        <w:rPr>
          <w:rFonts w:ascii="Arial Nova" w:hAnsi="Arial Nova"/>
        </w:rPr>
        <w:t xml:space="preserve">se two forms </w:t>
      </w:r>
      <w:r w:rsidR="004E7DAC" w:rsidRPr="00FD6AF0">
        <w:rPr>
          <w:rFonts w:ascii="Arial Nova" w:hAnsi="Arial Nova"/>
        </w:rPr>
        <w:t xml:space="preserve">can easily be distinguished by </w:t>
      </w:r>
      <w:r w:rsidR="009C4FED" w:rsidRPr="00FD6AF0">
        <w:rPr>
          <w:rFonts w:ascii="Arial Nova" w:hAnsi="Arial Nova"/>
        </w:rPr>
        <w:t>the way they do or don’t use commas</w:t>
      </w:r>
      <w:r w:rsidR="004E7DAC" w:rsidRPr="00FD6AF0">
        <w:rPr>
          <w:rFonts w:ascii="Arial Nova" w:hAnsi="Arial Nova"/>
        </w:rPr>
        <w:t>. Ho</w:t>
      </w:r>
      <w:r w:rsidR="00671398" w:rsidRPr="00FD6AF0">
        <w:rPr>
          <w:rFonts w:ascii="Arial Nova" w:hAnsi="Arial Nova"/>
        </w:rPr>
        <w:t>wever,</w:t>
      </w:r>
      <w:r w:rsidR="00D23438" w:rsidRPr="00FD6AF0">
        <w:rPr>
          <w:rFonts w:ascii="Arial Nova" w:hAnsi="Arial Nova"/>
        </w:rPr>
        <w:t xml:space="preserve"> </w:t>
      </w:r>
      <w:r w:rsidR="00432A59" w:rsidRPr="00FD6AF0">
        <w:rPr>
          <w:rFonts w:ascii="Arial Nova" w:hAnsi="Arial Nova"/>
        </w:rPr>
        <w:t xml:space="preserve">confusing the two types of relative clauses can </w:t>
      </w:r>
      <w:r w:rsidR="00231B0A" w:rsidRPr="00FD6AF0">
        <w:rPr>
          <w:rFonts w:ascii="Arial Nova" w:hAnsi="Arial Nova"/>
        </w:rPr>
        <w:t>evoke unintended meanings for your reader.</w:t>
      </w:r>
      <w:r w:rsidR="00432A59" w:rsidRPr="00FD6AF0">
        <w:rPr>
          <w:rFonts w:ascii="Arial Nova" w:hAnsi="Arial Nova"/>
        </w:rPr>
        <w:t xml:space="preserve"> </w:t>
      </w:r>
      <w:r w:rsidR="0071600B" w:rsidRPr="00FD6AF0">
        <w:rPr>
          <w:rFonts w:ascii="Arial Nova" w:hAnsi="Arial Nova"/>
        </w:rPr>
        <w:t>Practice examples are on the next page of this handout.</w:t>
      </w:r>
      <w:r w:rsidR="00171B3B" w:rsidRPr="00FD6AF0">
        <w:rPr>
          <w:rFonts w:ascii="Arial Nova" w:hAnsi="Arial Nova"/>
        </w:rPr>
        <w:t xml:space="preserve">        </w:t>
      </w:r>
    </w:p>
    <w:p w14:paraId="53236C87" w14:textId="06A9417B" w:rsidR="00234B87" w:rsidRPr="00724485" w:rsidRDefault="00D52DA1" w:rsidP="003E55F6">
      <w:pPr>
        <w:pStyle w:val="Heading2"/>
        <w:spacing w:before="0" w:after="120"/>
        <w:rPr>
          <w:rFonts w:ascii="Arial Nova" w:hAnsi="Arial Nova"/>
          <w:b/>
          <w:bCs/>
          <w:color w:val="000000" w:themeColor="text1"/>
          <w:sz w:val="28"/>
          <w:szCs w:val="28"/>
        </w:rPr>
      </w:pPr>
      <w:r w:rsidRPr="00724485">
        <w:rPr>
          <w:rFonts w:ascii="Arial Nova" w:hAnsi="Arial Nova"/>
          <w:b/>
          <w:bCs/>
          <w:color w:val="000000" w:themeColor="text1"/>
          <w:sz w:val="28"/>
          <w:szCs w:val="28"/>
        </w:rPr>
        <w:t>You need 3 things to create a relative clause in a complex sentence:</w:t>
      </w:r>
    </w:p>
    <w:p w14:paraId="300DB349" w14:textId="3571E46D" w:rsidR="00234B87" w:rsidRPr="00A17D5B" w:rsidRDefault="00234B87" w:rsidP="00D27073">
      <w:pPr>
        <w:pStyle w:val="ListParagraph"/>
        <w:numPr>
          <w:ilvl w:val="0"/>
          <w:numId w:val="1"/>
        </w:numPr>
        <w:spacing w:after="60"/>
        <w:contextualSpacing w:val="0"/>
        <w:rPr>
          <w:rFonts w:ascii="Arial Nova" w:hAnsi="Arial Nova"/>
        </w:rPr>
      </w:pPr>
      <w:r w:rsidRPr="00724485">
        <w:rPr>
          <w:rFonts w:ascii="Arial Nova" w:hAnsi="Arial Nova"/>
          <w:b/>
          <w:bCs/>
          <w:i/>
          <w:iCs/>
        </w:rPr>
        <w:t>Independent Clause</w:t>
      </w:r>
      <w:r w:rsidR="00855FBB" w:rsidRPr="00724485">
        <w:rPr>
          <w:rFonts w:ascii="Arial Nova" w:hAnsi="Arial Nova"/>
          <w:b/>
          <w:bCs/>
          <w:i/>
          <w:iCs/>
        </w:rPr>
        <w:t xml:space="preserve"> —</w:t>
      </w:r>
      <w:r w:rsidR="00A17D5B">
        <w:rPr>
          <w:rFonts w:ascii="Arial Nova" w:hAnsi="Arial Nova"/>
          <w:b/>
          <w:bCs/>
        </w:rPr>
        <w:t xml:space="preserve"> </w:t>
      </w:r>
      <w:r w:rsidR="00A17D5B" w:rsidRPr="00A17D5B">
        <w:rPr>
          <w:rFonts w:ascii="Arial Nova" w:hAnsi="Arial Nova"/>
        </w:rPr>
        <w:t>Th</w:t>
      </w:r>
      <w:r w:rsidR="00DD6B16">
        <w:rPr>
          <w:rFonts w:ascii="Arial Nova" w:hAnsi="Arial Nova"/>
        </w:rPr>
        <w:t xml:space="preserve">is </w:t>
      </w:r>
      <w:r w:rsidR="00A17D5B" w:rsidRPr="00A17D5B">
        <w:rPr>
          <w:rFonts w:ascii="Arial Nova" w:hAnsi="Arial Nova"/>
        </w:rPr>
        <w:t xml:space="preserve">standalone </w:t>
      </w:r>
      <w:r w:rsidR="00A17D5B">
        <w:rPr>
          <w:rFonts w:ascii="Arial Nova" w:hAnsi="Arial Nova"/>
        </w:rPr>
        <w:t xml:space="preserve">sentence </w:t>
      </w:r>
      <w:r w:rsidR="00DD6B16">
        <w:rPr>
          <w:rFonts w:ascii="Arial Nova" w:hAnsi="Arial Nova"/>
        </w:rPr>
        <w:t xml:space="preserve">contains a </w:t>
      </w:r>
      <w:r w:rsidR="00DD6B16" w:rsidRPr="00BB6A3C">
        <w:rPr>
          <w:rFonts w:ascii="Arial Nova" w:hAnsi="Arial Nova"/>
          <w:b/>
          <w:bCs/>
        </w:rPr>
        <w:t>noun</w:t>
      </w:r>
      <w:r w:rsidR="00DD6B16">
        <w:rPr>
          <w:rFonts w:ascii="Arial Nova" w:hAnsi="Arial Nova"/>
        </w:rPr>
        <w:t xml:space="preserve"> </w:t>
      </w:r>
      <w:r w:rsidR="00A17D5B">
        <w:rPr>
          <w:rFonts w:ascii="Arial Nova" w:hAnsi="Arial Nova"/>
        </w:rPr>
        <w:t>that the relative clause will modify</w:t>
      </w:r>
      <w:r w:rsidR="00DD6B16">
        <w:rPr>
          <w:rFonts w:ascii="Arial Nova" w:hAnsi="Arial Nova"/>
        </w:rPr>
        <w:t>, either restrictively or non-restrictively</w:t>
      </w:r>
      <w:r w:rsidR="00854BAE">
        <w:rPr>
          <w:rFonts w:ascii="Arial Nova" w:hAnsi="Arial Nova"/>
        </w:rPr>
        <w:t>, as well as a verb of its own.</w:t>
      </w:r>
    </w:p>
    <w:p w14:paraId="62A4DE7B" w14:textId="25A3F675" w:rsidR="00234B87" w:rsidRPr="005518E8" w:rsidRDefault="006B6F04" w:rsidP="00D27073">
      <w:pPr>
        <w:pStyle w:val="ListParagraph"/>
        <w:numPr>
          <w:ilvl w:val="0"/>
          <w:numId w:val="1"/>
        </w:numPr>
        <w:spacing w:after="60"/>
        <w:contextualSpacing w:val="0"/>
        <w:rPr>
          <w:rFonts w:ascii="Arial Nova" w:hAnsi="Arial Nova"/>
        </w:rPr>
      </w:pPr>
      <w:r w:rsidRPr="00724485">
        <w:rPr>
          <w:rFonts w:ascii="Arial Nova" w:hAnsi="Arial Nova"/>
          <w:b/>
          <w:bCs/>
          <w:i/>
          <w:iCs/>
        </w:rPr>
        <w:t>Relative pronoun</w:t>
      </w:r>
      <w:r w:rsidR="00855FBB" w:rsidRPr="00724485">
        <w:rPr>
          <w:rFonts w:ascii="Arial Nova" w:hAnsi="Arial Nova"/>
          <w:b/>
          <w:bCs/>
          <w:i/>
          <w:iCs/>
        </w:rPr>
        <w:t xml:space="preserve"> </w:t>
      </w:r>
      <w:r w:rsidR="003B073C" w:rsidRPr="00724485">
        <w:rPr>
          <w:rFonts w:ascii="Arial Nova" w:hAnsi="Arial Nova"/>
          <w:b/>
          <w:bCs/>
          <w:i/>
          <w:iCs/>
        </w:rPr>
        <w:t>(RP)</w:t>
      </w:r>
      <w:r w:rsidR="003B073C">
        <w:rPr>
          <w:rFonts w:ascii="Arial Nova" w:hAnsi="Arial Nova"/>
          <w:b/>
          <w:bCs/>
        </w:rPr>
        <w:t xml:space="preserve"> </w:t>
      </w:r>
      <w:r w:rsidR="00855FBB">
        <w:rPr>
          <w:rFonts w:ascii="Arial Nova" w:hAnsi="Arial Nova"/>
          <w:b/>
          <w:bCs/>
        </w:rPr>
        <w:t xml:space="preserve">— </w:t>
      </w:r>
      <w:r w:rsidR="00180C23">
        <w:rPr>
          <w:rFonts w:ascii="Arial Nova" w:hAnsi="Arial Nova"/>
        </w:rPr>
        <w:t xml:space="preserve">a word </w:t>
      </w:r>
      <w:r w:rsidR="00855FBB" w:rsidRPr="00F141AD">
        <w:rPr>
          <w:rFonts w:ascii="Arial Nova" w:hAnsi="Arial Nova"/>
        </w:rPr>
        <w:t xml:space="preserve">like </w:t>
      </w:r>
      <w:r w:rsidR="00E51DDA" w:rsidRPr="00F141AD">
        <w:rPr>
          <w:rFonts w:ascii="Arial Nova" w:hAnsi="Arial Nova"/>
          <w:i/>
          <w:iCs/>
        </w:rPr>
        <w:t xml:space="preserve">that, which, </w:t>
      </w:r>
      <w:r w:rsidR="001D08A1" w:rsidRPr="00F141AD">
        <w:rPr>
          <w:rFonts w:ascii="Arial Nova" w:hAnsi="Arial Nova"/>
          <w:i/>
          <w:iCs/>
        </w:rPr>
        <w:t>where</w:t>
      </w:r>
      <w:r w:rsidR="001D08A1" w:rsidRPr="00F141AD">
        <w:rPr>
          <w:rFonts w:ascii="Arial Nova" w:hAnsi="Arial Nova"/>
        </w:rPr>
        <w:t xml:space="preserve">, </w:t>
      </w:r>
      <w:r w:rsidR="004500D4" w:rsidRPr="004500D4">
        <w:rPr>
          <w:rFonts w:ascii="Arial Nova" w:hAnsi="Arial Nova"/>
          <w:i/>
          <w:iCs/>
        </w:rPr>
        <w:t>who, or whom</w:t>
      </w:r>
      <w:r w:rsidR="00180C23">
        <w:rPr>
          <w:rFonts w:ascii="Arial Nova" w:hAnsi="Arial Nova"/>
          <w:i/>
          <w:iCs/>
        </w:rPr>
        <w:t xml:space="preserve"> </w:t>
      </w:r>
      <w:r w:rsidR="00180C23">
        <w:rPr>
          <w:rFonts w:ascii="Arial Nova" w:hAnsi="Arial Nova"/>
        </w:rPr>
        <w:t xml:space="preserve">that connects the noun from the independent clause to </w:t>
      </w:r>
      <w:r w:rsidR="00A57746">
        <w:rPr>
          <w:rFonts w:ascii="Arial Nova" w:hAnsi="Arial Nova"/>
        </w:rPr>
        <w:t xml:space="preserve">the </w:t>
      </w:r>
      <w:r w:rsidR="005E1E86">
        <w:rPr>
          <w:rFonts w:ascii="Arial Nova" w:hAnsi="Arial Nova"/>
        </w:rPr>
        <w:t xml:space="preserve">verb in the relative clause </w:t>
      </w:r>
      <w:r w:rsidR="00A57746">
        <w:rPr>
          <w:rFonts w:ascii="Arial Nova" w:hAnsi="Arial Nova"/>
        </w:rPr>
        <w:t>that modifies it.</w:t>
      </w:r>
      <w:r w:rsidR="00A57746">
        <w:rPr>
          <w:rFonts w:ascii="Arial Nova" w:hAnsi="Arial Nova"/>
          <w:i/>
          <w:iCs/>
        </w:rPr>
        <w:t xml:space="preserve"> </w:t>
      </w:r>
      <w:r w:rsidR="00E06A07">
        <w:rPr>
          <w:rFonts w:ascii="Arial Nova" w:hAnsi="Arial Nova"/>
          <w:i/>
          <w:iCs/>
        </w:rPr>
        <w:br/>
      </w:r>
      <w:r w:rsidR="00C263FC">
        <w:rPr>
          <w:rFonts w:ascii="Arial Nova" w:hAnsi="Arial Nova"/>
          <w:i/>
          <w:iCs/>
        </w:rPr>
        <w:t xml:space="preserve">(Note: </w:t>
      </w:r>
      <w:r w:rsidR="005518E8">
        <w:rPr>
          <w:rFonts w:ascii="Arial Nova" w:hAnsi="Arial Nova"/>
          <w:i/>
          <w:iCs/>
        </w:rPr>
        <w:t>“</w:t>
      </w:r>
      <w:r w:rsidR="00C263FC">
        <w:rPr>
          <w:rFonts w:ascii="Arial Nova" w:hAnsi="Arial Nova"/>
          <w:i/>
          <w:iCs/>
        </w:rPr>
        <w:t>whic</w:t>
      </w:r>
      <w:r w:rsidR="005518E8">
        <w:rPr>
          <w:rFonts w:ascii="Arial Nova" w:hAnsi="Arial Nova"/>
          <w:i/>
          <w:iCs/>
        </w:rPr>
        <w:t>h”</w:t>
      </w:r>
      <w:r w:rsidR="00C263FC" w:rsidRPr="005518E8">
        <w:rPr>
          <w:rFonts w:ascii="Arial Nova" w:hAnsi="Arial Nova"/>
          <w:i/>
          <w:iCs/>
        </w:rPr>
        <w:t xml:space="preserve"> is only used in non-restrictive clauses)</w:t>
      </w:r>
    </w:p>
    <w:p w14:paraId="157935DD" w14:textId="4BD2EB72" w:rsidR="00523EF3" w:rsidRPr="00485B37" w:rsidRDefault="001D08A1" w:rsidP="00840B03">
      <w:pPr>
        <w:pStyle w:val="ListParagraph"/>
        <w:numPr>
          <w:ilvl w:val="0"/>
          <w:numId w:val="1"/>
        </w:numPr>
        <w:spacing w:after="360"/>
        <w:contextualSpacing w:val="0"/>
        <w:rPr>
          <w:rFonts w:ascii="Arial Nova" w:hAnsi="Arial Nova"/>
          <w:b/>
          <w:bCs/>
        </w:rPr>
      </w:pPr>
      <w:proofErr w:type="gramStart"/>
      <w:r w:rsidRPr="00724485">
        <w:rPr>
          <w:rFonts w:ascii="Arial Nova" w:hAnsi="Arial Nova"/>
          <w:b/>
          <w:bCs/>
          <w:i/>
          <w:iCs/>
        </w:rPr>
        <w:t>A</w:t>
      </w:r>
      <w:r w:rsidR="006B6F04" w:rsidRPr="00724485">
        <w:rPr>
          <w:rFonts w:ascii="Arial Nova" w:hAnsi="Arial Nova"/>
          <w:b/>
          <w:bCs/>
          <w:i/>
          <w:iCs/>
        </w:rPr>
        <w:t xml:space="preserve"> main verb</w:t>
      </w:r>
      <w:proofErr w:type="gramEnd"/>
      <w:r w:rsidR="006038F9" w:rsidRPr="00724485">
        <w:rPr>
          <w:rFonts w:ascii="Arial Nova" w:hAnsi="Arial Nova"/>
          <w:b/>
          <w:bCs/>
          <w:i/>
          <w:iCs/>
        </w:rPr>
        <w:t xml:space="preserve"> in the relative </w:t>
      </w:r>
      <w:proofErr w:type="gramStart"/>
      <w:r w:rsidR="006038F9" w:rsidRPr="00724485">
        <w:rPr>
          <w:rFonts w:ascii="Arial Nova" w:hAnsi="Arial Nova"/>
          <w:b/>
          <w:bCs/>
          <w:i/>
          <w:iCs/>
        </w:rPr>
        <w:t>clause</w:t>
      </w:r>
      <w:r w:rsidR="006B6F04">
        <w:rPr>
          <w:rFonts w:ascii="Arial Nova" w:hAnsi="Arial Nova"/>
          <w:b/>
          <w:bCs/>
        </w:rPr>
        <w:t xml:space="preserve"> </w:t>
      </w:r>
      <w:r>
        <w:rPr>
          <w:rFonts w:ascii="Arial Nova" w:hAnsi="Arial Nova"/>
          <w:b/>
          <w:bCs/>
        </w:rPr>
        <w:t>—</w:t>
      </w:r>
      <w:r w:rsidR="005A4D55">
        <w:rPr>
          <w:rFonts w:ascii="Arial Nova" w:hAnsi="Arial Nova"/>
          <w:b/>
          <w:bCs/>
        </w:rPr>
        <w:t xml:space="preserve"> </w:t>
      </w:r>
      <w:r w:rsidR="006038F9">
        <w:rPr>
          <w:rFonts w:ascii="Arial Nova" w:hAnsi="Arial Nova"/>
        </w:rPr>
        <w:t xml:space="preserve">Having a </w:t>
      </w:r>
      <w:r w:rsidR="00E54AA8">
        <w:rPr>
          <w:rFonts w:ascii="Arial Nova" w:hAnsi="Arial Nova"/>
        </w:rPr>
        <w:t xml:space="preserve">main </w:t>
      </w:r>
      <w:r w:rsidR="006038F9">
        <w:rPr>
          <w:rFonts w:ascii="Arial Nova" w:hAnsi="Arial Nova"/>
        </w:rPr>
        <w:t>verb</w:t>
      </w:r>
      <w:proofErr w:type="gramEnd"/>
      <w:r w:rsidR="006038F9">
        <w:rPr>
          <w:rFonts w:ascii="Arial Nova" w:hAnsi="Arial Nova"/>
        </w:rPr>
        <w:t xml:space="preserve"> is what distinguishes a phrase from a clause, so </w:t>
      </w:r>
      <w:proofErr w:type="gramStart"/>
      <w:r w:rsidR="00084759">
        <w:rPr>
          <w:rFonts w:ascii="Arial Nova" w:hAnsi="Arial Nova"/>
        </w:rPr>
        <w:t>in order to</w:t>
      </w:r>
      <w:proofErr w:type="gramEnd"/>
      <w:r w:rsidR="00084759">
        <w:rPr>
          <w:rFonts w:ascii="Arial Nova" w:hAnsi="Arial Nova"/>
        </w:rPr>
        <w:t xml:space="preserve"> create </w:t>
      </w:r>
      <w:r w:rsidR="006E02F1">
        <w:rPr>
          <w:rFonts w:ascii="Arial Nova" w:hAnsi="Arial Nova"/>
        </w:rPr>
        <w:t>a relative clause there must be a verb used to describe the noun from the independent clause.</w:t>
      </w:r>
      <w:r w:rsidR="00347AF0" w:rsidRPr="00347AF0">
        <w:rPr>
          <w:rFonts w:ascii="Arial Nova" w:hAnsi="Arial Nova"/>
          <w:b/>
          <w:bCs/>
          <w:noProof/>
        </w:rPr>
        <w:t xml:space="preserve"> </w:t>
      </w:r>
    </w:p>
    <w:p w14:paraId="2CED15CB" w14:textId="4BE6AB4A" w:rsidR="008C04A3" w:rsidRDefault="00D12BD6" w:rsidP="00E54AA8">
      <w:pPr>
        <w:rPr>
          <w:rFonts w:ascii="Arial Nova" w:hAnsi="Arial Nova"/>
          <w:b/>
          <w:bCs/>
        </w:rPr>
        <w:sectPr w:rsidR="008C04A3" w:rsidSect="00531B9E">
          <w:footerReference w:type="default" r:id="rId12"/>
          <w:footerReference w:type="first" r:id="rId13"/>
          <w:pgSz w:w="12240" w:h="15840"/>
          <w:pgMar w:top="720" w:right="720" w:bottom="720" w:left="720" w:header="0" w:footer="288" w:gutter="0"/>
          <w:cols w:space="720"/>
          <w:titlePg/>
          <w:docGrid w:linePitch="360"/>
        </w:sectPr>
      </w:pPr>
      <w:r w:rsidRPr="00D12BD6">
        <w:rPr>
          <w:rFonts w:ascii="Arial Nova" w:hAnsi="Arial Nova"/>
          <w:b/>
          <w:bCs/>
          <w:noProof/>
        </w:rPr>
        <w:drawing>
          <wp:inline distT="0" distB="0" distL="0" distR="0" wp14:anchorId="24D4E22D" wp14:editId="1488AD7A">
            <wp:extent cx="6858000" cy="935355"/>
            <wp:effectExtent l="0" t="0" r="0" b="4445"/>
            <wp:docPr id="1830889309" name="Picture 1" descr="3-part labeled sentence to demonstrate the elements of a complex sentence described above. The whole sentence is “The data include individuals who participated in both phases of the study.&#10;Element 1. Independent clause with its own verb: The data includes individuals.&#10;Individuals is marked as the specific noun the relative clause modifies&#10;Element 2.  The relative pronoun: who&#10;Element 3.  the main verb in the relative clause: participated.&#10;Who participated in both phases of the study is the complete relative claus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889309" name="Picture 1" descr="3-part labeled sentence to demonstrate the elements of a complex sentence described above. The whole sentence is “The data include individuals who participated in both phases of the study.&#10;Element 1. Independent clause with its own verb: The data includes individuals.&#10;Individuals is marked as the specific noun the relative clause modifies&#10;Element 2.  The relative pronoun: who&#10;Element 3.  the main verb in the relative clause: participated.&#10;Who participated in both phases of the study is the complete relative clause.&#10;&#10;"/>
                    <pic:cNvPicPr/>
                  </pic:nvPicPr>
                  <pic:blipFill>
                    <a:blip r:embed="rId14"/>
                    <a:stretch>
                      <a:fillRect/>
                    </a:stretch>
                  </pic:blipFill>
                  <pic:spPr>
                    <a:xfrm>
                      <a:off x="0" y="0"/>
                      <a:ext cx="6858000" cy="935355"/>
                    </a:xfrm>
                    <a:prstGeom prst="rect">
                      <a:avLst/>
                    </a:prstGeom>
                  </pic:spPr>
                </pic:pic>
              </a:graphicData>
            </a:graphic>
          </wp:inline>
        </w:drawing>
      </w:r>
    </w:p>
    <w:p w14:paraId="1861C66D" w14:textId="649BCEFD" w:rsidR="00347AF0" w:rsidRPr="003D6170" w:rsidRDefault="00A76AAB" w:rsidP="00A83913">
      <w:pPr>
        <w:pStyle w:val="Heading2"/>
        <w:rPr>
          <w:rFonts w:ascii="Arial Nova" w:hAnsi="Arial Nova"/>
          <w:b/>
          <w:bCs/>
          <w:color w:val="0E2841" w:themeColor="text2"/>
          <w:sz w:val="28"/>
          <w:szCs w:val="28"/>
        </w:rPr>
        <w:sectPr w:rsidR="00347AF0" w:rsidRPr="003D6170" w:rsidSect="008C04A3">
          <w:type w:val="continuous"/>
          <w:pgSz w:w="12240" w:h="15840"/>
          <w:pgMar w:top="720" w:right="720" w:bottom="720" w:left="720" w:header="0" w:footer="288" w:gutter="0"/>
          <w:cols w:num="2" w:space="720"/>
          <w:titlePg/>
          <w:docGrid w:linePitch="360"/>
        </w:sectPr>
      </w:pPr>
      <w:r w:rsidRPr="003D6170">
        <w:rPr>
          <w:rFonts w:ascii="Arial Nova" w:hAnsi="Arial Nova"/>
          <w:b/>
          <w:bCs/>
          <w:noProof/>
          <w:color w:val="0E2841" w:themeColor="text2"/>
          <w:sz w:val="28"/>
          <w:szCs w:val="28"/>
        </w:rPr>
        <mc:AlternateContent>
          <mc:Choice Requires="wps">
            <w:drawing>
              <wp:anchor distT="0" distB="0" distL="114300" distR="114300" simplePos="0" relativeHeight="251658240" behindDoc="0" locked="0" layoutInCell="1" allowOverlap="1" wp14:anchorId="03933E81" wp14:editId="6F954362">
                <wp:simplePos x="0" y="0"/>
                <wp:positionH relativeFrom="column">
                  <wp:posOffset>-36709</wp:posOffset>
                </wp:positionH>
                <wp:positionV relativeFrom="paragraph">
                  <wp:posOffset>61572</wp:posOffset>
                </wp:positionV>
                <wp:extent cx="7068245" cy="2082429"/>
                <wp:effectExtent l="0" t="0" r="18415" b="13335"/>
                <wp:wrapNone/>
                <wp:docPr id="1971299918" name="Frame 1">
                  <a:extLst xmlns:a="http://schemas.openxmlformats.org/drawingml/2006/main">
                    <a:ext uri="{FF2B5EF4-FFF2-40B4-BE49-F238E27FC236}">
                      <a16:creationId xmlns:a16="http://schemas.microsoft.com/office/drawing/2014/main" id="{672384EB-2671-421A-858C-D83C3C7E989B}"/>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68245" cy="2082429"/>
                        </a:xfrm>
                        <a:prstGeom prst="frame">
                          <a:avLst>
                            <a:gd name="adj1" fmla="val 663"/>
                          </a:avLst>
                        </a:prstGeom>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DFFA3" id="Frame 1" o:spid="_x0000_s1026" alt="&quot;&quot;" style="position:absolute;margin-left:-2.9pt;margin-top:4.85pt;width:556.55pt;height:163.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068245,2082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" path="m,l7068245,r,2082429l,2082429,,xm13807,13807r,2054815l7054438,2068622r,-2054815l13807,13807xe" fillcolor="#156082 [3204]" strokecolor="black [3213]" strokeweight=".25pt">
                <v:stroke joinstyle="miter"/>
                <v:path arrowok="t" o:connecttype="custom" o:connectlocs="0,0;7068245,0;7068245,2082429;0,2082429;0,0;13807,13807;13807,2068622;7054438,2068622;7054438,13807;13807,13807" o:connectangles="0,0,0,0,0,0,0,0,0,0"/>
              </v:shape>
            </w:pict>
          </mc:Fallback>
        </mc:AlternateContent>
      </w:r>
      <w:r w:rsidR="008C04A3" w:rsidRPr="003D6170">
        <w:rPr>
          <w:rFonts w:ascii="Arial Nova" w:hAnsi="Arial Nova"/>
          <w:b/>
          <w:bCs/>
          <w:color w:val="0E2841" w:themeColor="text2"/>
          <w:sz w:val="28"/>
          <w:szCs w:val="28"/>
        </w:rPr>
        <w:t xml:space="preserve">Restrictive Clauses </w:t>
      </w:r>
    </w:p>
    <w:p w14:paraId="0A4DF378" w14:textId="5DFD9722" w:rsidR="00FF0FA3" w:rsidRPr="00347AF0" w:rsidRDefault="008C04A3" w:rsidP="00F60EFE">
      <w:pPr>
        <w:spacing w:before="120" w:after="120"/>
        <w:rPr>
          <w:rFonts w:ascii="Arial Nova" w:hAnsi="Arial Nova"/>
          <w:color w:val="000000" w:themeColor="text1"/>
          <w:kern w:val="24"/>
          <w14:ligatures w14:val="none"/>
        </w:rPr>
      </w:pPr>
      <w:r>
        <w:rPr>
          <w:rFonts w:ascii="Arial Nova" w:hAnsi="Arial Nova"/>
          <w:b/>
          <w:bCs/>
          <w:color w:val="000000" w:themeColor="text1"/>
          <w:kern w:val="24"/>
        </w:rPr>
        <w:t xml:space="preserve">Restrictive Clauses </w:t>
      </w:r>
      <w:r>
        <w:rPr>
          <w:rFonts w:ascii="Arial Nova" w:hAnsi="Arial Nova"/>
          <w:color w:val="000000" w:themeColor="text1"/>
          <w:kern w:val="24"/>
        </w:rPr>
        <w:t xml:space="preserve">restrict a larger potential group to a </w:t>
      </w:r>
      <w:r w:rsidRPr="008E4064">
        <w:rPr>
          <w:rFonts w:ascii="Arial Nova" w:hAnsi="Arial Nova"/>
          <w:color w:val="000000" w:themeColor="text1"/>
          <w:kern w:val="24"/>
        </w:rPr>
        <w:t>narrower subset</w:t>
      </w:r>
      <w:r>
        <w:rPr>
          <w:rFonts w:ascii="Arial Nova" w:hAnsi="Arial Nova"/>
          <w:color w:val="000000" w:themeColor="text1"/>
          <w:kern w:val="24"/>
        </w:rPr>
        <w:t xml:space="preserve"> by adding additional qualifiers. Removing them </w:t>
      </w:r>
      <w:r w:rsidRPr="00895CE8">
        <w:rPr>
          <w:rFonts w:ascii="Arial Nova" w:hAnsi="Arial Nova"/>
          <w:b/>
          <w:bCs/>
          <w:color w:val="000000" w:themeColor="text1"/>
          <w:kern w:val="24"/>
        </w:rPr>
        <w:t>changes</w:t>
      </w:r>
      <w:r>
        <w:rPr>
          <w:rFonts w:ascii="Arial Nova" w:hAnsi="Arial Nova"/>
          <w:color w:val="000000" w:themeColor="text1"/>
          <w:kern w:val="24"/>
        </w:rPr>
        <w:t xml:space="preserve"> the meaning of the original sentence. They are </w:t>
      </w:r>
      <w:r w:rsidRPr="00FD3529">
        <w:rPr>
          <w:rFonts w:ascii="Arial Nova" w:hAnsi="Arial Nova"/>
          <w:b/>
          <w:bCs/>
          <w:color w:val="000000" w:themeColor="text1"/>
          <w:kern w:val="24"/>
        </w:rPr>
        <w:t>NOT</w:t>
      </w:r>
      <w:r>
        <w:rPr>
          <w:rFonts w:ascii="Arial Nova" w:hAnsi="Arial Nova"/>
          <w:color w:val="000000" w:themeColor="text1"/>
          <w:kern w:val="24"/>
        </w:rPr>
        <w:t xml:space="preserve"> surrounded by commas. </w:t>
      </w:r>
    </w:p>
    <w:p w14:paraId="37F6833B" w14:textId="68808F43" w:rsidR="00F60EFE" w:rsidRPr="00946425" w:rsidRDefault="008C04A3" w:rsidP="00946425">
      <w:pPr>
        <w:pStyle w:val="Heading3"/>
      </w:pPr>
      <w:r w:rsidRPr="00946425">
        <w:t>Example:</w:t>
      </w:r>
    </w:p>
    <w:p w14:paraId="2D4E4D5F" w14:textId="77777777" w:rsidR="00A60693" w:rsidRDefault="008C04A3" w:rsidP="00F60EFE">
      <w:pPr>
        <w:rPr>
          <w:rFonts w:ascii="Arial Nova" w:hAnsi="Arial Nova"/>
          <w:color w:val="000000" w:themeColor="text1"/>
          <w:kern w:val="24"/>
        </w:rPr>
      </w:pPr>
      <w:r w:rsidRPr="00C268AD">
        <w:rPr>
          <w:rFonts w:ascii="Arial Nova" w:hAnsi="Arial Nova"/>
          <w:color w:val="000000" w:themeColor="text1"/>
          <w:kern w:val="24"/>
        </w:rPr>
        <w:t xml:space="preserve">*Focus group participants </w:t>
      </w:r>
      <w:r w:rsidRPr="00177AD7">
        <w:rPr>
          <w:rFonts w:ascii="Arial Nova" w:hAnsi="Arial Nova"/>
          <w:color w:val="000000" w:themeColor="text1"/>
          <w:kern w:val="24"/>
          <w:u w:val="single"/>
        </w:rPr>
        <w:t xml:space="preserve">who have already confirmed their </w:t>
      </w:r>
      <w:r>
        <w:rPr>
          <w:rFonts w:ascii="Arial Nova" w:hAnsi="Arial Nova"/>
          <w:color w:val="000000" w:themeColor="text1"/>
          <w:kern w:val="24"/>
          <w:u w:val="single"/>
        </w:rPr>
        <w:t xml:space="preserve">survey participation </w:t>
      </w:r>
      <w:r w:rsidRPr="00177AD7">
        <w:rPr>
          <w:rFonts w:ascii="Arial Nova" w:hAnsi="Arial Nova"/>
          <w:color w:val="000000" w:themeColor="text1"/>
          <w:kern w:val="24"/>
          <w:u w:val="single"/>
        </w:rPr>
        <w:t>eligibility</w:t>
      </w:r>
      <w:r w:rsidRPr="00C268AD">
        <w:rPr>
          <w:rFonts w:ascii="Arial Nova" w:hAnsi="Arial Nova"/>
          <w:color w:val="000000" w:themeColor="text1"/>
          <w:kern w:val="24"/>
        </w:rPr>
        <w:t xml:space="preserve"> are invited to complete an </w:t>
      </w:r>
      <w:r w:rsidR="00713B64">
        <w:rPr>
          <w:rFonts w:ascii="Arial Nova" w:hAnsi="Arial Nova"/>
          <w:color w:val="000000" w:themeColor="text1"/>
          <w:kern w:val="24"/>
        </w:rPr>
        <w:t>a</w:t>
      </w:r>
      <w:r w:rsidRPr="00C268AD">
        <w:rPr>
          <w:rFonts w:ascii="Arial Nova" w:hAnsi="Arial Nova"/>
          <w:color w:val="000000" w:themeColor="text1"/>
          <w:kern w:val="24"/>
        </w:rPr>
        <w:t>dditional survey in exchange for a $20 gift card</w:t>
      </w:r>
      <w:r w:rsidR="00713B64">
        <w:rPr>
          <w:rFonts w:ascii="Arial Nova" w:hAnsi="Arial Nova"/>
          <w:color w:val="000000" w:themeColor="text1"/>
          <w:kern w:val="24"/>
        </w:rPr>
        <w:t>.</w:t>
      </w:r>
    </w:p>
    <w:p w14:paraId="7DAC5FFD" w14:textId="04B7445E" w:rsidR="00E85FBC" w:rsidRPr="00BF51E4" w:rsidRDefault="003D6170" w:rsidP="00BF51E4">
      <w:pPr>
        <w:rPr>
          <w:rFonts w:ascii="Arial Nova" w:hAnsi="Arial Nova"/>
          <w:b/>
          <w:bCs/>
          <w:color w:val="000000" w:themeColor="text1"/>
          <w:kern w:val="24"/>
        </w:rPr>
        <w:sectPr w:rsidR="00E85FBC" w:rsidRPr="00BF51E4" w:rsidSect="00713B64">
          <w:type w:val="continuous"/>
          <w:pgSz w:w="12240" w:h="15840"/>
          <w:pgMar w:top="720" w:right="720" w:bottom="720" w:left="720" w:header="0" w:footer="288" w:gutter="0"/>
          <w:cols w:num="2" w:space="432" w:equalWidth="0">
            <w:col w:w="6768" w:space="432"/>
            <w:col w:w="3600"/>
          </w:cols>
          <w:titlePg/>
          <w:docGrid w:linePitch="360"/>
        </w:sectPr>
      </w:pPr>
      <w:r>
        <w:fldChar w:fldCharType="begin"/>
      </w:r>
      <w:r>
        <w:instrText xml:space="preserve"> INCLUDEPICTURE "https://www.depts.ttu.edu/provost/uwc/graduate/images/1.jpg" \* MERGEFORMATINET </w:instrText>
      </w:r>
      <w:r>
        <w:fldChar w:fldCharType="separate"/>
      </w:r>
      <w:r>
        <w:rPr>
          <w:noProof/>
        </w:rPr>
        <w:drawing>
          <wp:inline distT="0" distB="0" distL="0" distR="0" wp14:anchorId="0C8CC194" wp14:editId="482E5C63">
            <wp:extent cx="2248601" cy="1736725"/>
            <wp:effectExtent l="0" t="0" r="0" b="3175"/>
            <wp:docPr id="1047254476" name="Picture 35" descr="An image of a circle labeled focus group participants, with a smaller inset circle completely filled in with color. The larger circle is labeled &quot;Some are ineligible to complete the survey.&quot; The inset circle is labeled with an asterisk and the text &quot;Only some are eligible to complete the survey.&quot;  This highlights the way that restrictive clauses are distinguished by their lack of commas and depict a smaller (i.e., restricted) subset of a larger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54476" name="Picture 35" descr="An image of a circle labeled focus group participants, with a smaller inset circle completely filled in with color. The larger circle is labeled &quot;Some are ineligible to complete the survey.&quot; The inset circle is labeled with an asterisk and the text &quot;Only some are eligible to complete the survey.&quot;  This highlights the way that restrictive clauses are distinguished by their lack of commas and depict a smaller (i.e., restricted) subset of a larger grou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77409" cy="1758975"/>
                    </a:xfrm>
                    <a:prstGeom prst="rect">
                      <a:avLst/>
                    </a:prstGeom>
                    <a:noFill/>
                    <a:ln>
                      <a:noFill/>
                    </a:ln>
                  </pic:spPr>
                </pic:pic>
              </a:graphicData>
            </a:graphic>
          </wp:inline>
        </w:drawing>
      </w:r>
      <w:r>
        <w:fldChar w:fldCharType="end"/>
      </w:r>
    </w:p>
    <w:p w14:paraId="3DEC54DF" w14:textId="45000F1C" w:rsidR="003A1163" w:rsidRPr="003D6170" w:rsidRDefault="005863BC" w:rsidP="003A1163">
      <w:pPr>
        <w:pStyle w:val="Heading2"/>
        <w:rPr>
          <w:rFonts w:ascii="Arial Nova" w:hAnsi="Arial Nova"/>
          <w:b/>
          <w:bCs/>
          <w:color w:val="0E2841" w:themeColor="text2"/>
          <w:sz w:val="28"/>
          <w:szCs w:val="28"/>
        </w:rPr>
        <w:sectPr w:rsidR="003A1163" w:rsidRPr="003D6170" w:rsidSect="00B31CA1">
          <w:type w:val="continuous"/>
          <w:pgSz w:w="12240" w:h="15840"/>
          <w:pgMar w:top="720" w:right="720" w:bottom="720" w:left="720" w:header="0" w:footer="288" w:gutter="0"/>
          <w:cols w:space="720"/>
          <w:titlePg/>
          <w:docGrid w:linePitch="360"/>
        </w:sectPr>
      </w:pPr>
      <w:r w:rsidRPr="003D6170">
        <w:rPr>
          <w:rFonts w:ascii="Arial Nova" w:hAnsi="Arial Nova"/>
          <w:b/>
          <w:bCs/>
          <w:noProof/>
          <w:color w:val="0E2841" w:themeColor="text2"/>
        </w:rPr>
        <mc:AlternateContent>
          <mc:Choice Requires="wps">
            <w:drawing>
              <wp:anchor distT="0" distB="0" distL="114300" distR="114300" simplePos="0" relativeHeight="251658241" behindDoc="0" locked="0" layoutInCell="1" allowOverlap="1" wp14:anchorId="1F7BE87F" wp14:editId="59FFB40D">
                <wp:simplePos x="0" y="0"/>
                <wp:positionH relativeFrom="column">
                  <wp:posOffset>-36709</wp:posOffset>
                </wp:positionH>
                <wp:positionV relativeFrom="paragraph">
                  <wp:posOffset>77118</wp:posOffset>
                </wp:positionV>
                <wp:extent cx="7068185" cy="2115167"/>
                <wp:effectExtent l="0" t="0" r="18415" b="19050"/>
                <wp:wrapNone/>
                <wp:docPr id="1634353361" name="Frame 1">
                  <a:extLst xmlns:a="http://schemas.openxmlformats.org/drawingml/2006/main">
                    <a:ext uri="{FF2B5EF4-FFF2-40B4-BE49-F238E27FC236}">
                      <a16:creationId xmlns:a16="http://schemas.microsoft.com/office/drawing/2014/main" id="{73C5926F-336D-4F8C-8BDE-25D6242A08DD}"/>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68185" cy="2115167"/>
                        </a:xfrm>
                        <a:prstGeom prst="frame">
                          <a:avLst>
                            <a:gd name="adj1" fmla="val 663"/>
                          </a:avLst>
                        </a:prstGeom>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EA50E" id="Frame 1" o:spid="_x0000_s1026" alt="&quot;&quot;" style="position:absolute;margin-left:-2.9pt;margin-top:6.05pt;width:556.55pt;height:166.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068185,2115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" path="m,l7068185,r,2115167l,2115167,,xm14024,14024r,2087119l7054161,2101143r,-2087119l14024,14024xe" fillcolor="#156082 [3204]" strokecolor="black [3213]" strokeweight=".25pt">
                <v:stroke joinstyle="miter"/>
                <v:path arrowok="t" o:connecttype="custom" o:connectlocs="0,0;7068185,0;7068185,2115167;0,2115167;0,0;14024,14024;14024,2101143;7054161,2101143;7054161,14024;14024,14024" o:connectangles="0,0,0,0,0,0,0,0,0,0"/>
              </v:shape>
            </w:pict>
          </mc:Fallback>
        </mc:AlternateContent>
      </w:r>
      <w:r w:rsidR="00FF0FA3" w:rsidRPr="003D6170">
        <w:rPr>
          <w:rFonts w:ascii="Arial Nova" w:hAnsi="Arial Nova"/>
          <w:b/>
          <w:bCs/>
          <w:color w:val="0E2841" w:themeColor="text2"/>
          <w:sz w:val="28"/>
          <w:szCs w:val="28"/>
        </w:rPr>
        <w:t>Non-Restrictive Clauses</w:t>
      </w:r>
    </w:p>
    <w:p w14:paraId="6E841C2E" w14:textId="49EE03E2" w:rsidR="00713B64" w:rsidRDefault="003A1163" w:rsidP="005863BC">
      <w:pPr>
        <w:spacing w:before="120" w:after="120"/>
        <w:rPr>
          <w:rFonts w:ascii="Arial Nova" w:hAnsi="Arial Nova"/>
          <w:color w:val="000000" w:themeColor="text1"/>
          <w:kern w:val="24"/>
        </w:rPr>
      </w:pPr>
      <w:r>
        <w:rPr>
          <w:rFonts w:ascii="Arial Nova" w:hAnsi="Arial Nova"/>
          <w:b/>
          <w:bCs/>
          <w:color w:val="000000" w:themeColor="text1"/>
          <w:kern w:val="24"/>
        </w:rPr>
        <w:t>Non-restrictive clauses</w:t>
      </w:r>
      <w:r>
        <w:rPr>
          <w:rFonts w:ascii="Arial Nova" w:hAnsi="Arial Nova"/>
          <w:color w:val="000000" w:themeColor="text1"/>
          <w:kern w:val="24"/>
        </w:rPr>
        <w:t xml:space="preserve">, sometimes called appositive clauses, add additional or clarifying information that applies to all of whatever the clause describes. Adding/removing these clauses </w:t>
      </w:r>
      <w:r w:rsidRPr="00C46993">
        <w:rPr>
          <w:rFonts w:ascii="Arial Nova" w:hAnsi="Arial Nova"/>
          <w:b/>
          <w:bCs/>
          <w:color w:val="000000" w:themeColor="text1"/>
          <w:kern w:val="24"/>
        </w:rPr>
        <w:t>does not change</w:t>
      </w:r>
      <w:r>
        <w:rPr>
          <w:rFonts w:ascii="Arial Nova" w:hAnsi="Arial Nova"/>
          <w:color w:val="000000" w:themeColor="text1"/>
          <w:kern w:val="24"/>
        </w:rPr>
        <w:t xml:space="preserve"> the original meaning of the independent clause. They </w:t>
      </w:r>
      <w:r>
        <w:rPr>
          <w:rFonts w:ascii="Arial Nova" w:hAnsi="Arial Nova"/>
          <w:b/>
          <w:bCs/>
          <w:color w:val="000000" w:themeColor="text1"/>
          <w:kern w:val="24"/>
        </w:rPr>
        <w:t xml:space="preserve">ARE </w:t>
      </w:r>
      <w:r>
        <w:rPr>
          <w:rFonts w:ascii="Arial Nova" w:hAnsi="Arial Nova"/>
          <w:color w:val="000000" w:themeColor="text1"/>
          <w:kern w:val="24"/>
        </w:rPr>
        <w:t>surrounded by commas.</w:t>
      </w:r>
    </w:p>
    <w:p w14:paraId="503B5841" w14:textId="77777777" w:rsidR="00420F7B" w:rsidRDefault="00713B64" w:rsidP="00946425">
      <w:pPr>
        <w:pStyle w:val="Heading3"/>
      </w:pPr>
      <w:r w:rsidRPr="00177AD7">
        <w:t>Example:</w:t>
      </w:r>
    </w:p>
    <w:p w14:paraId="136923A5" w14:textId="0B8D8BDD" w:rsidR="00713B64" w:rsidRDefault="00713B64" w:rsidP="00713B64">
      <w:pPr>
        <w:rPr>
          <w:rFonts w:ascii="Arial Nova" w:hAnsi="Arial Nova"/>
          <w:color w:val="000000" w:themeColor="text1"/>
          <w:kern w:val="24"/>
        </w:rPr>
      </w:pPr>
      <w:r w:rsidRPr="00C268AD">
        <w:rPr>
          <w:rFonts w:ascii="Arial Nova" w:hAnsi="Arial Nova"/>
          <w:color w:val="000000" w:themeColor="text1"/>
          <w:kern w:val="24"/>
        </w:rPr>
        <w:t>**Focus group participants</w:t>
      </w:r>
      <w:r w:rsidRPr="00177AD7">
        <w:rPr>
          <w:rFonts w:ascii="Arial Nova" w:hAnsi="Arial Nova"/>
          <w:color w:val="000000" w:themeColor="text1"/>
          <w:kern w:val="24"/>
          <w:u w:val="single"/>
        </w:rPr>
        <w:t xml:space="preserve">, who have already confirmed their </w:t>
      </w:r>
      <w:r>
        <w:rPr>
          <w:rFonts w:ascii="Arial Nova" w:hAnsi="Arial Nova"/>
          <w:color w:val="000000" w:themeColor="text1"/>
          <w:kern w:val="24"/>
          <w:u w:val="single"/>
        </w:rPr>
        <w:t xml:space="preserve">survey participation </w:t>
      </w:r>
      <w:r w:rsidRPr="00177AD7">
        <w:rPr>
          <w:rFonts w:ascii="Arial Nova" w:hAnsi="Arial Nova"/>
          <w:color w:val="000000" w:themeColor="text1"/>
          <w:kern w:val="24"/>
          <w:u w:val="single"/>
        </w:rPr>
        <w:t>eligibility,</w:t>
      </w:r>
      <w:r w:rsidRPr="00C268AD">
        <w:rPr>
          <w:rFonts w:ascii="Arial Nova" w:hAnsi="Arial Nova"/>
          <w:color w:val="000000" w:themeColor="text1"/>
          <w:kern w:val="24"/>
        </w:rPr>
        <w:t xml:space="preserve"> are invited to complete an additional survey in exchange for a $20 gift card.</w:t>
      </w:r>
    </w:p>
    <w:p w14:paraId="7D309D20" w14:textId="21DD3C1F" w:rsidR="005863BC" w:rsidRDefault="003D6170" w:rsidP="003A1163">
      <w:pPr>
        <w:rPr>
          <w:rFonts w:ascii="Arial Nova" w:hAnsi="Arial Nova"/>
          <w:color w:val="000000" w:themeColor="text1"/>
          <w:kern w:val="24"/>
        </w:rPr>
        <w:sectPr w:rsidR="005863BC" w:rsidSect="005863BC">
          <w:type w:val="continuous"/>
          <w:pgSz w:w="12240" w:h="15840"/>
          <w:pgMar w:top="720" w:right="720" w:bottom="720" w:left="720" w:header="0" w:footer="288" w:gutter="0"/>
          <w:cols w:num="2" w:space="432" w:equalWidth="0">
            <w:col w:w="6768" w:space="432"/>
            <w:col w:w="3600"/>
          </w:cols>
          <w:titlePg/>
          <w:docGrid w:linePitch="360"/>
        </w:sectPr>
      </w:pPr>
      <w:r>
        <w:fldChar w:fldCharType="begin"/>
      </w:r>
      <w:r>
        <w:instrText xml:space="preserve"> INCLUDEPICTURE "https://www.depts.ttu.edu/provost/uwc/graduate/images/Non_restrictive_clauses_figure.jpg" \* MERGEFORMATINET </w:instrText>
      </w:r>
      <w:r>
        <w:fldChar w:fldCharType="separate"/>
      </w:r>
      <w:r>
        <w:rPr>
          <w:noProof/>
        </w:rPr>
        <w:drawing>
          <wp:inline distT="0" distB="0" distL="0" distR="0" wp14:anchorId="2C0E98FF" wp14:editId="3E471646">
            <wp:extent cx="2249424" cy="1737360"/>
            <wp:effectExtent l="0" t="0" r="0" b="2540"/>
            <wp:docPr id="1267642913" name="Picture 36" descr="An image of a circle labeled focus group participants, which is homogenous throughout. The interior of the circle is labeled &quot;All are eligible to complete the survey.&quot; This highlights the way that non-restrictive clauses are distinguished by commas and give additional information about the whol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n image of a circle labeled focus group participants, which is homogenous throughout. The interior of the circle is labeled &quot;All are eligible to complete the survey.&quot; This highlights the way that non-restrictive clauses are distinguished by commas and give additional information about the whole grou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49424" cy="1737360"/>
                    </a:xfrm>
                    <a:prstGeom prst="rect">
                      <a:avLst/>
                    </a:prstGeom>
                    <a:noFill/>
                    <a:ln>
                      <a:noFill/>
                    </a:ln>
                  </pic:spPr>
                </pic:pic>
              </a:graphicData>
            </a:graphic>
          </wp:inline>
        </w:drawing>
      </w:r>
      <w:r>
        <w:fldChar w:fldCharType="end"/>
      </w:r>
    </w:p>
    <w:p w14:paraId="21591AC4" w14:textId="67E1CFAA" w:rsidR="00383021" w:rsidRPr="00B8084B" w:rsidRDefault="0056700E" w:rsidP="00B8084B">
      <w:pPr>
        <w:pStyle w:val="Heading2"/>
        <w:rPr>
          <w:rFonts w:ascii="Arial Nova" w:hAnsi="Arial Nova"/>
          <w:b/>
          <w:bCs/>
          <w:color w:val="000000" w:themeColor="text1"/>
          <w:sz w:val="28"/>
          <w:szCs w:val="28"/>
        </w:rPr>
      </w:pPr>
      <w:r w:rsidRPr="00B8084B">
        <w:rPr>
          <w:rFonts w:ascii="Arial Nova" w:hAnsi="Arial Nova"/>
          <w:b/>
          <w:bCs/>
          <w:color w:val="000000" w:themeColor="text1"/>
          <w:sz w:val="28"/>
          <w:szCs w:val="28"/>
        </w:rPr>
        <w:lastRenderedPageBreak/>
        <w:t>Relative Clause</w:t>
      </w:r>
      <w:r w:rsidR="00FD6AF0" w:rsidRPr="00B8084B">
        <w:rPr>
          <w:rFonts w:ascii="Arial Nova" w:hAnsi="Arial Nova"/>
          <w:b/>
          <w:bCs/>
          <w:color w:val="000000" w:themeColor="text1"/>
          <w:sz w:val="28"/>
          <w:szCs w:val="28"/>
        </w:rPr>
        <w:t xml:space="preserve"> Practice</w:t>
      </w:r>
    </w:p>
    <w:p w14:paraId="290451D0" w14:textId="48EA9233" w:rsidR="00383021" w:rsidRDefault="00383021" w:rsidP="00656220">
      <w:pPr>
        <w:tabs>
          <w:tab w:val="left" w:pos="4656"/>
        </w:tabs>
        <w:rPr>
          <w:rFonts w:ascii="Arial Nova" w:hAnsi="Arial Nova"/>
        </w:rPr>
      </w:pPr>
      <w:r w:rsidRPr="00383021">
        <w:rPr>
          <w:rFonts w:ascii="Arial Nova" w:hAnsi="Arial Nova"/>
        </w:rPr>
        <w:t xml:space="preserve">Below are several examples </w:t>
      </w:r>
      <w:r>
        <w:rPr>
          <w:rFonts w:ascii="Arial Nova" w:hAnsi="Arial Nova"/>
        </w:rPr>
        <w:t>of relative clause</w:t>
      </w:r>
      <w:r w:rsidR="00EA56FB">
        <w:rPr>
          <w:rFonts w:ascii="Arial Nova" w:hAnsi="Arial Nova"/>
        </w:rPr>
        <w:t>s in complex sentences for you to practice with. Please select the most appropriate pronoun or punctuation choice from the options provided</w:t>
      </w:r>
      <w:r w:rsidR="009D731F">
        <w:rPr>
          <w:rFonts w:ascii="Arial Nova" w:hAnsi="Arial Nova"/>
        </w:rPr>
        <w:t xml:space="preserve">. </w:t>
      </w:r>
      <w:r w:rsidR="00EA56FB">
        <w:rPr>
          <w:rFonts w:ascii="Arial Nova" w:hAnsi="Arial Nova"/>
        </w:rPr>
        <w:t>Explanations</w:t>
      </w:r>
      <w:r w:rsidR="009D731F">
        <w:rPr>
          <w:rFonts w:ascii="Arial Nova" w:hAnsi="Arial Nova"/>
        </w:rPr>
        <w:t xml:space="preserve"> are at the bottom of the page.</w:t>
      </w:r>
    </w:p>
    <w:p w14:paraId="43981483" w14:textId="58843345" w:rsidR="0056700E" w:rsidRPr="00A7635C" w:rsidRDefault="000D0B92" w:rsidP="00BF51E4">
      <w:pPr>
        <w:pStyle w:val="ListParagraph"/>
        <w:numPr>
          <w:ilvl w:val="0"/>
          <w:numId w:val="4"/>
        </w:numPr>
        <w:tabs>
          <w:tab w:val="left" w:pos="4656"/>
        </w:tabs>
        <w:spacing w:before="60" w:after="120"/>
        <w:contextualSpacing w:val="0"/>
        <w:rPr>
          <w:rFonts w:ascii="Arial Nova" w:hAnsi="Arial Nova"/>
        </w:rPr>
      </w:pPr>
      <w:r w:rsidRPr="00A7635C">
        <w:rPr>
          <w:rFonts w:ascii="Arial Nova" w:hAnsi="Arial Nova"/>
        </w:rPr>
        <w:t xml:space="preserve">Grades, </w:t>
      </w:r>
      <w:r w:rsidR="00BF504D" w:rsidRPr="001062A6">
        <w:rPr>
          <w:rFonts w:ascii="Arial Nova" w:hAnsi="Arial Nova"/>
          <w:b/>
          <w:bCs/>
          <w:u w:val="single"/>
        </w:rPr>
        <w:t>that/which</w:t>
      </w:r>
      <w:r w:rsidRPr="001062A6">
        <w:rPr>
          <w:rFonts w:ascii="Arial Nova" w:hAnsi="Arial Nova"/>
          <w:u w:val="single"/>
        </w:rPr>
        <w:t xml:space="preserve"> will be posted on Blackboard</w:t>
      </w:r>
      <w:r w:rsidRPr="00A7635C">
        <w:rPr>
          <w:rFonts w:ascii="Arial Nova" w:hAnsi="Arial Nova"/>
        </w:rPr>
        <w:t>, will be ava</w:t>
      </w:r>
      <w:r w:rsidR="00363F27" w:rsidRPr="00A7635C">
        <w:rPr>
          <w:rFonts w:ascii="Arial Nova" w:hAnsi="Arial Nova"/>
        </w:rPr>
        <w:t xml:space="preserve">ilable </w:t>
      </w:r>
      <w:r w:rsidR="00BF504D" w:rsidRPr="00A7635C">
        <w:rPr>
          <w:rFonts w:ascii="Arial Nova" w:hAnsi="Arial Nova"/>
        </w:rPr>
        <w:t>on Friday.</w:t>
      </w:r>
    </w:p>
    <w:p w14:paraId="5888D835" w14:textId="2730A537" w:rsidR="00766422" w:rsidRDefault="00DB04D5" w:rsidP="00BF51E4">
      <w:pPr>
        <w:pStyle w:val="ListParagraph"/>
        <w:numPr>
          <w:ilvl w:val="0"/>
          <w:numId w:val="4"/>
        </w:numPr>
        <w:tabs>
          <w:tab w:val="left" w:pos="4656"/>
        </w:tabs>
        <w:spacing w:before="60" w:after="120"/>
        <w:contextualSpacing w:val="0"/>
        <w:rPr>
          <w:rFonts w:ascii="Arial Nova" w:hAnsi="Arial Nova"/>
        </w:rPr>
      </w:pPr>
      <w:r w:rsidRPr="00A7635C">
        <w:rPr>
          <w:rFonts w:ascii="Arial Nova" w:hAnsi="Arial Nova"/>
        </w:rPr>
        <w:t xml:space="preserve">Samples </w:t>
      </w:r>
      <w:r w:rsidRPr="001062A6">
        <w:rPr>
          <w:rFonts w:ascii="Arial Nova" w:hAnsi="Arial Nova"/>
          <w:b/>
          <w:bCs/>
          <w:u w:val="single"/>
        </w:rPr>
        <w:t>that/which</w:t>
      </w:r>
      <w:r w:rsidRPr="001062A6">
        <w:rPr>
          <w:rFonts w:ascii="Arial Nova" w:hAnsi="Arial Nova"/>
          <w:u w:val="single"/>
        </w:rPr>
        <w:t xml:space="preserve"> have already been processed</w:t>
      </w:r>
      <w:r w:rsidRPr="00A7635C">
        <w:rPr>
          <w:rFonts w:ascii="Arial Nova" w:hAnsi="Arial Nova"/>
        </w:rPr>
        <w:t xml:space="preserve"> will be stored</w:t>
      </w:r>
      <w:r w:rsidR="00F95A81" w:rsidRPr="00A7635C">
        <w:rPr>
          <w:rFonts w:ascii="Arial Nova" w:hAnsi="Arial Nova"/>
        </w:rPr>
        <w:t xml:space="preserve"> at 0</w:t>
      </w:r>
      <w:r w:rsidR="009B722C" w:rsidRPr="00A7635C">
        <w:rPr>
          <w:rFonts w:ascii="Cambria Math" w:hAnsi="Cambria Math" w:cs="Cambria Math"/>
        </w:rPr>
        <w:t>℃</w:t>
      </w:r>
      <w:r w:rsidR="009B722C" w:rsidRPr="00A7635C">
        <w:rPr>
          <w:rFonts w:ascii="Arial Nova" w:hAnsi="Arial Nova" w:cs="Cambria Math"/>
        </w:rPr>
        <w:t xml:space="preserve"> </w:t>
      </w:r>
      <w:r w:rsidR="009B722C" w:rsidRPr="00A7635C">
        <w:rPr>
          <w:rFonts w:ascii="Arial Nova" w:hAnsi="Arial Nova"/>
        </w:rPr>
        <w:t>until</w:t>
      </w:r>
      <w:r w:rsidR="0051028B" w:rsidRPr="00A7635C">
        <w:rPr>
          <w:rFonts w:ascii="Arial Nova" w:hAnsi="Arial Nova"/>
        </w:rPr>
        <w:t xml:space="preserve"> </w:t>
      </w:r>
      <w:r w:rsidR="00766422" w:rsidRPr="00A7635C">
        <w:rPr>
          <w:rFonts w:ascii="Arial Nova" w:hAnsi="Arial Nova"/>
        </w:rPr>
        <w:t>the completion of Phase 1.</w:t>
      </w:r>
    </w:p>
    <w:p w14:paraId="581ACD52" w14:textId="6F0676A8" w:rsidR="00711C14" w:rsidRPr="001062A6" w:rsidRDefault="00564351" w:rsidP="00BF51E4">
      <w:pPr>
        <w:pStyle w:val="ListParagraph"/>
        <w:numPr>
          <w:ilvl w:val="0"/>
          <w:numId w:val="4"/>
        </w:numPr>
        <w:tabs>
          <w:tab w:val="left" w:pos="4656"/>
        </w:tabs>
        <w:spacing w:before="60" w:after="120"/>
        <w:contextualSpacing w:val="0"/>
        <w:rPr>
          <w:rFonts w:ascii="Arial Nova" w:hAnsi="Arial Nova"/>
          <w:u w:val="single"/>
        </w:rPr>
      </w:pPr>
      <w:r>
        <w:rPr>
          <w:rFonts w:ascii="Arial Nova" w:hAnsi="Arial Nova"/>
        </w:rPr>
        <w:t>Results indicate</w:t>
      </w:r>
      <w:r w:rsidR="00D90071">
        <w:rPr>
          <w:rFonts w:ascii="Arial Nova" w:hAnsi="Arial Nova"/>
        </w:rPr>
        <w:t xml:space="preserve"> </w:t>
      </w:r>
      <w:r>
        <w:rPr>
          <w:rFonts w:ascii="Arial Nova" w:hAnsi="Arial Nova"/>
        </w:rPr>
        <w:t xml:space="preserve">three </w:t>
      </w:r>
      <w:r w:rsidR="00D90071">
        <w:rPr>
          <w:rFonts w:ascii="Arial Nova" w:hAnsi="Arial Nova"/>
        </w:rPr>
        <w:t xml:space="preserve">variables </w:t>
      </w:r>
      <w:r w:rsidR="00D90071" w:rsidRPr="001062A6">
        <w:rPr>
          <w:rFonts w:ascii="Arial Nova" w:hAnsi="Arial Nova"/>
          <w:b/>
          <w:bCs/>
          <w:u w:val="single"/>
        </w:rPr>
        <w:t>that</w:t>
      </w:r>
      <w:r w:rsidRPr="001062A6">
        <w:rPr>
          <w:rFonts w:ascii="Arial Nova" w:hAnsi="Arial Nova"/>
          <w:b/>
          <w:bCs/>
          <w:u w:val="single"/>
        </w:rPr>
        <w:t>/which</w:t>
      </w:r>
      <w:r w:rsidR="00D90071" w:rsidRPr="001062A6">
        <w:rPr>
          <w:rFonts w:ascii="Arial Nova" w:hAnsi="Arial Nova"/>
          <w:u w:val="single"/>
        </w:rPr>
        <w:t xml:space="preserve"> significantly influenced outcomes</w:t>
      </w:r>
      <w:r w:rsidR="00F7047D" w:rsidRPr="001062A6">
        <w:rPr>
          <w:rFonts w:ascii="Arial Nova" w:hAnsi="Arial Nova"/>
          <w:u w:val="single"/>
        </w:rPr>
        <w:t xml:space="preserve"> in </w:t>
      </w:r>
      <w:r w:rsidR="00852AF2" w:rsidRPr="001062A6">
        <w:rPr>
          <w:rFonts w:ascii="Arial Nova" w:hAnsi="Arial Nova"/>
          <w:u w:val="single"/>
        </w:rPr>
        <w:t>the experiment.</w:t>
      </w:r>
    </w:p>
    <w:p w14:paraId="241C0B46" w14:textId="2B9D0310" w:rsidR="00EC5DF3" w:rsidRDefault="00EA7B2B" w:rsidP="00BF51E4">
      <w:pPr>
        <w:pStyle w:val="ListParagraph"/>
        <w:numPr>
          <w:ilvl w:val="0"/>
          <w:numId w:val="4"/>
        </w:numPr>
        <w:tabs>
          <w:tab w:val="left" w:pos="4656"/>
        </w:tabs>
        <w:spacing w:before="60" w:after="120"/>
        <w:contextualSpacing w:val="0"/>
        <w:rPr>
          <w:rFonts w:ascii="Arial Nova" w:hAnsi="Arial Nova"/>
        </w:rPr>
      </w:pPr>
      <w:r>
        <w:rPr>
          <w:rFonts w:ascii="Arial Nova" w:hAnsi="Arial Nova"/>
        </w:rPr>
        <w:t xml:space="preserve">Scholars </w:t>
      </w:r>
      <w:r w:rsidR="005F1309">
        <w:rPr>
          <w:rFonts w:ascii="Arial Nova" w:hAnsi="Arial Nova"/>
        </w:rPr>
        <w:t>(</w:t>
      </w:r>
      <w:r w:rsidR="005F1309" w:rsidRPr="001062A6">
        <w:rPr>
          <w:rFonts w:ascii="Arial Nova" w:hAnsi="Arial Nova"/>
          <w:b/>
          <w:bCs/>
        </w:rPr>
        <w:t>commas/no commas</w:t>
      </w:r>
      <w:r w:rsidR="005F1309">
        <w:rPr>
          <w:rFonts w:ascii="Arial Nova" w:hAnsi="Arial Nova"/>
        </w:rPr>
        <w:t>)</w:t>
      </w:r>
      <w:r w:rsidR="001062A6">
        <w:rPr>
          <w:rFonts w:ascii="Arial Nova" w:hAnsi="Arial Nova"/>
        </w:rPr>
        <w:t xml:space="preserve"> </w:t>
      </w:r>
      <w:r w:rsidRPr="00136A39">
        <w:rPr>
          <w:rFonts w:ascii="Arial Nova" w:hAnsi="Arial Nova"/>
          <w:u w:val="single"/>
        </w:rPr>
        <w:t xml:space="preserve">who study the </w:t>
      </w:r>
      <w:r w:rsidR="00F23E7F" w:rsidRPr="00136A39">
        <w:rPr>
          <w:rFonts w:ascii="Arial Nova" w:hAnsi="Arial Nova"/>
          <w:u w:val="single"/>
        </w:rPr>
        <w:t>interactions between the physical aspects of a region and the human activities within it</w:t>
      </w:r>
      <w:r w:rsidR="00BF3DC7">
        <w:rPr>
          <w:rFonts w:ascii="Arial Nova" w:hAnsi="Arial Nova"/>
          <w:u w:val="single"/>
          <w:vertAlign w:val="superscript"/>
        </w:rPr>
        <w:t>1</w:t>
      </w:r>
      <w:r w:rsidR="00136A39">
        <w:rPr>
          <w:rFonts w:ascii="Arial Nova" w:hAnsi="Arial Nova"/>
        </w:rPr>
        <w:t xml:space="preserve"> are called geographers</w:t>
      </w:r>
      <w:r w:rsidR="00530A17">
        <w:rPr>
          <w:rFonts w:ascii="Arial Nova" w:hAnsi="Arial Nova"/>
        </w:rPr>
        <w:t>.</w:t>
      </w:r>
    </w:p>
    <w:p w14:paraId="1CBA97A4" w14:textId="236D20A1" w:rsidR="0032152B" w:rsidRPr="00711C14" w:rsidRDefault="0032152B" w:rsidP="00BF51E4">
      <w:pPr>
        <w:pStyle w:val="ListParagraph"/>
        <w:numPr>
          <w:ilvl w:val="0"/>
          <w:numId w:val="4"/>
        </w:numPr>
        <w:tabs>
          <w:tab w:val="left" w:pos="4656"/>
        </w:tabs>
        <w:spacing w:before="60" w:after="120"/>
        <w:contextualSpacing w:val="0"/>
        <w:rPr>
          <w:rFonts w:ascii="Arial Nova" w:hAnsi="Arial Nova"/>
        </w:rPr>
      </w:pPr>
      <w:r>
        <w:rPr>
          <w:rFonts w:ascii="Arial Nova" w:hAnsi="Arial Nova"/>
        </w:rPr>
        <w:t xml:space="preserve">Scholars </w:t>
      </w:r>
      <w:r w:rsidR="005F1309">
        <w:rPr>
          <w:rFonts w:ascii="Arial Nova" w:hAnsi="Arial Nova"/>
        </w:rPr>
        <w:t>(</w:t>
      </w:r>
      <w:r w:rsidR="005F1309" w:rsidRPr="001062A6">
        <w:rPr>
          <w:rFonts w:ascii="Arial Nova" w:hAnsi="Arial Nova"/>
          <w:b/>
          <w:bCs/>
        </w:rPr>
        <w:t>commas/no commas</w:t>
      </w:r>
      <w:r w:rsidR="005F1309">
        <w:rPr>
          <w:rFonts w:ascii="Arial Nova" w:hAnsi="Arial Nova"/>
        </w:rPr>
        <w:t>)</w:t>
      </w:r>
      <w:r w:rsidR="001062A6">
        <w:rPr>
          <w:rFonts w:ascii="Arial Nova" w:hAnsi="Arial Nova"/>
        </w:rPr>
        <w:t xml:space="preserve"> </w:t>
      </w:r>
      <w:r w:rsidRPr="006754C1">
        <w:rPr>
          <w:rFonts w:ascii="Arial Nova" w:hAnsi="Arial Nova"/>
          <w:u w:val="single"/>
        </w:rPr>
        <w:t xml:space="preserve">who devote their careers to furthering </w:t>
      </w:r>
      <w:r w:rsidR="006754C1" w:rsidRPr="006754C1">
        <w:rPr>
          <w:rFonts w:ascii="Arial Nova" w:hAnsi="Arial Nova"/>
          <w:u w:val="single"/>
        </w:rPr>
        <w:t>knowledge within their discipline</w:t>
      </w:r>
      <w:r w:rsidR="006754C1">
        <w:rPr>
          <w:rFonts w:ascii="Arial Nova" w:hAnsi="Arial Nova"/>
        </w:rPr>
        <w:t xml:space="preserve"> are often found in academia.</w:t>
      </w:r>
    </w:p>
    <w:p w14:paraId="46E8E05C" w14:textId="77777777" w:rsidR="00297CED" w:rsidRPr="00BF51E4" w:rsidRDefault="00297CED" w:rsidP="00DE6821">
      <w:pPr>
        <w:pStyle w:val="Heading3"/>
        <w:spacing w:after="120"/>
      </w:pPr>
      <w:r w:rsidRPr="00BF51E4">
        <w:t xml:space="preserve">Explanations </w:t>
      </w:r>
    </w:p>
    <w:p w14:paraId="6EF403B5" w14:textId="77777777" w:rsidR="00297CED" w:rsidRPr="00EA56FB" w:rsidRDefault="00297CED" w:rsidP="00DE6821">
      <w:pPr>
        <w:pStyle w:val="ListParagraph"/>
        <w:numPr>
          <w:ilvl w:val="0"/>
          <w:numId w:val="2"/>
        </w:numPr>
        <w:spacing w:after="120" w:line="276" w:lineRule="auto"/>
        <w:rPr>
          <w:rFonts w:ascii="Arial Nova" w:hAnsi="Arial Nova"/>
          <w:b/>
          <w:bCs/>
          <w:sz w:val="20"/>
          <w:szCs w:val="20"/>
        </w:rPr>
      </w:pPr>
      <w:r w:rsidRPr="00EA56FB">
        <w:rPr>
          <w:rFonts w:ascii="Arial Nova" w:hAnsi="Arial Nova"/>
          <w:b/>
          <w:bCs/>
          <w:sz w:val="20"/>
          <w:szCs w:val="20"/>
        </w:rPr>
        <w:t xml:space="preserve">Which (non-restrictive): </w:t>
      </w:r>
      <w:r w:rsidRPr="00EA56FB">
        <w:rPr>
          <w:rFonts w:ascii="Arial Nova" w:hAnsi="Arial Nova"/>
          <w:sz w:val="20"/>
          <w:szCs w:val="20"/>
        </w:rPr>
        <w:t>Commas let us know that this is a non-restrictive clause, which requires “which” rather than “that.” Using “which” implies that all grades will be</w:t>
      </w:r>
      <w:r>
        <w:rPr>
          <w:rFonts w:ascii="Arial Nova" w:hAnsi="Arial Nova"/>
          <w:sz w:val="20"/>
          <w:szCs w:val="20"/>
        </w:rPr>
        <w:t xml:space="preserve"> both</w:t>
      </w:r>
      <w:r w:rsidRPr="00EA56FB">
        <w:rPr>
          <w:rFonts w:ascii="Arial Nova" w:hAnsi="Arial Nova"/>
          <w:sz w:val="20"/>
          <w:szCs w:val="20"/>
        </w:rPr>
        <w:t xml:space="preserve"> </w:t>
      </w:r>
      <w:proofErr w:type="gramStart"/>
      <w:r w:rsidRPr="00EA56FB">
        <w:rPr>
          <w:rFonts w:ascii="Arial Nova" w:hAnsi="Arial Nova"/>
          <w:sz w:val="20"/>
          <w:szCs w:val="20"/>
        </w:rPr>
        <w:t>posted on</w:t>
      </w:r>
      <w:proofErr w:type="gramEnd"/>
      <w:r w:rsidRPr="00EA56FB">
        <w:rPr>
          <w:rFonts w:ascii="Arial Nova" w:hAnsi="Arial Nova"/>
          <w:sz w:val="20"/>
          <w:szCs w:val="20"/>
        </w:rPr>
        <w:t xml:space="preserve"> Blackboard (because “which” does not place any restrictions on grades) and available on Friday. Using “that” would restrict the group of grades to a potentially smaller set that would be posted on Blackboard (vs. other locations perhaps) and would require that the commas be removed from the sentence.</w:t>
      </w:r>
    </w:p>
    <w:p w14:paraId="223F323D" w14:textId="77777777" w:rsidR="00297CED" w:rsidRPr="00EA56FB" w:rsidRDefault="00297CED" w:rsidP="00DE6821">
      <w:pPr>
        <w:pStyle w:val="ListParagraph"/>
        <w:numPr>
          <w:ilvl w:val="0"/>
          <w:numId w:val="2"/>
        </w:numPr>
        <w:spacing w:after="120" w:line="276" w:lineRule="auto"/>
        <w:rPr>
          <w:rFonts w:ascii="Arial Nova" w:hAnsi="Arial Nova" w:cs="Cambria Math"/>
          <w:sz w:val="20"/>
          <w:szCs w:val="20"/>
        </w:rPr>
      </w:pPr>
      <w:r w:rsidRPr="00EA56FB">
        <w:rPr>
          <w:rFonts w:ascii="Arial Nova" w:hAnsi="Arial Nova"/>
          <w:b/>
          <w:bCs/>
          <w:sz w:val="20"/>
          <w:szCs w:val="20"/>
        </w:rPr>
        <w:t>That (restrictive):</w:t>
      </w:r>
      <w:r w:rsidRPr="00EA56FB">
        <w:rPr>
          <w:rFonts w:ascii="Arial Nova" w:hAnsi="Arial Nova"/>
          <w:sz w:val="20"/>
          <w:szCs w:val="20"/>
        </w:rPr>
        <w:t xml:space="preserve"> Not using commas lets us know that this is a restrictive clause. Written in this way, this sentence tells us that the group of samples that have been processed may be a smaller set than the whole group of samples and that this smaller set of already processed samples will be stored at 0</w:t>
      </w:r>
      <w:r w:rsidRPr="00EA56FB">
        <w:rPr>
          <w:rFonts w:ascii="Cambria Math" w:hAnsi="Cambria Math" w:cs="Cambria Math"/>
          <w:sz w:val="20"/>
          <w:szCs w:val="20"/>
        </w:rPr>
        <w:t>℃</w:t>
      </w:r>
      <w:r w:rsidRPr="00EA56FB">
        <w:rPr>
          <w:rFonts w:ascii="Arial Nova" w:hAnsi="Arial Nova" w:cs="Cambria Math"/>
          <w:sz w:val="20"/>
          <w:szCs w:val="20"/>
        </w:rPr>
        <w:t>. If we wanted to imply that all samples would be processed together, we could rephrase this sentence to “After processing, samples will be stored at 0</w:t>
      </w:r>
      <w:r w:rsidRPr="00EA56FB">
        <w:rPr>
          <w:rFonts w:ascii="Cambria Math" w:hAnsi="Cambria Math" w:cs="Cambria Math"/>
          <w:sz w:val="20"/>
          <w:szCs w:val="20"/>
        </w:rPr>
        <w:t>℃</w:t>
      </w:r>
      <w:r w:rsidRPr="00EA56FB">
        <w:rPr>
          <w:rFonts w:ascii="Arial Nova" w:hAnsi="Arial Nova" w:cs="Cambria Math"/>
          <w:sz w:val="20"/>
          <w:szCs w:val="20"/>
        </w:rPr>
        <w:t xml:space="preserve"> until the completion of phase 1.”</w:t>
      </w:r>
    </w:p>
    <w:p w14:paraId="6D770ED2" w14:textId="77777777" w:rsidR="00297CED" w:rsidRPr="00EA56FB" w:rsidRDefault="00297CED" w:rsidP="00DE6821">
      <w:pPr>
        <w:pStyle w:val="ListParagraph"/>
        <w:numPr>
          <w:ilvl w:val="0"/>
          <w:numId w:val="2"/>
        </w:numPr>
        <w:spacing w:after="120" w:line="276" w:lineRule="auto"/>
        <w:rPr>
          <w:rFonts w:ascii="Arial Nova" w:hAnsi="Arial Nova" w:cs="Cambria Math"/>
          <w:sz w:val="20"/>
          <w:szCs w:val="20"/>
        </w:rPr>
      </w:pPr>
      <w:r w:rsidRPr="00EA56FB">
        <w:rPr>
          <w:rFonts w:ascii="Arial Nova" w:hAnsi="Arial Nova"/>
          <w:b/>
          <w:bCs/>
          <w:sz w:val="20"/>
          <w:szCs w:val="20"/>
        </w:rPr>
        <w:t>That (restrictive)</w:t>
      </w:r>
      <w:r w:rsidRPr="00EA56FB">
        <w:rPr>
          <w:rFonts w:ascii="Arial Nova" w:hAnsi="Arial Nova" w:cs="Cambria Math"/>
          <w:sz w:val="20"/>
          <w:szCs w:val="20"/>
        </w:rPr>
        <w:t>: In this case, it is important to add qualifications to “three variables.” Using “which” would imply that we could understand the implications of these variables without the addition of “significantly influenced outcomes in the experiment,” but the thought is incomplete without this information. The use of “which” would also require commas.</w:t>
      </w:r>
    </w:p>
    <w:p w14:paraId="0B808521" w14:textId="77777777" w:rsidR="00297CED" w:rsidRPr="00EA56FB" w:rsidRDefault="00297CED" w:rsidP="00DE6821">
      <w:pPr>
        <w:pStyle w:val="ListParagraph"/>
        <w:numPr>
          <w:ilvl w:val="0"/>
          <w:numId w:val="2"/>
        </w:numPr>
        <w:spacing w:after="120" w:line="276" w:lineRule="auto"/>
        <w:rPr>
          <w:rFonts w:ascii="Arial Nova" w:hAnsi="Arial Nova" w:cs="Cambria Math"/>
          <w:sz w:val="20"/>
          <w:szCs w:val="20"/>
        </w:rPr>
      </w:pPr>
      <w:r w:rsidRPr="00EA56FB">
        <w:rPr>
          <w:rFonts w:ascii="Arial Nova" w:hAnsi="Arial Nova"/>
          <w:b/>
          <w:bCs/>
          <w:sz w:val="20"/>
          <w:szCs w:val="20"/>
        </w:rPr>
        <w:t>No commas (i.e., restrictive clause)</w:t>
      </w:r>
      <w:r w:rsidRPr="00EA56FB">
        <w:rPr>
          <w:rFonts w:ascii="Arial Nova" w:hAnsi="Arial Nova" w:cs="Cambria Math"/>
          <w:sz w:val="20"/>
          <w:szCs w:val="20"/>
        </w:rPr>
        <w:t xml:space="preserve">: Not all scholars are geographers, so we </w:t>
      </w:r>
      <w:proofErr w:type="gramStart"/>
      <w:r w:rsidRPr="00EA56FB">
        <w:rPr>
          <w:rFonts w:ascii="Arial Nova" w:hAnsi="Arial Nova" w:cs="Cambria Math"/>
          <w:sz w:val="20"/>
          <w:szCs w:val="20"/>
        </w:rPr>
        <w:t>have to</w:t>
      </w:r>
      <w:proofErr w:type="gramEnd"/>
      <w:r w:rsidRPr="00EA56FB">
        <w:rPr>
          <w:rFonts w:ascii="Arial Nova" w:hAnsi="Arial Nova" w:cs="Cambria Math"/>
          <w:sz w:val="20"/>
          <w:szCs w:val="20"/>
        </w:rPr>
        <w:t xml:space="preserve"> use a restrictive clause to limit the group of scholars to those who study “interactions between the physical aspects of a region and the human activities within it” </w:t>
      </w:r>
      <w:proofErr w:type="gramStart"/>
      <w:r w:rsidRPr="00EA56FB">
        <w:rPr>
          <w:rFonts w:ascii="Arial Nova" w:hAnsi="Arial Nova" w:cs="Cambria Math"/>
          <w:sz w:val="20"/>
          <w:szCs w:val="20"/>
        </w:rPr>
        <w:t>in order to</w:t>
      </w:r>
      <w:proofErr w:type="gramEnd"/>
      <w:r w:rsidRPr="00EA56FB">
        <w:rPr>
          <w:rFonts w:ascii="Arial Nova" w:hAnsi="Arial Nova" w:cs="Cambria Math"/>
          <w:sz w:val="20"/>
          <w:szCs w:val="20"/>
        </w:rPr>
        <w:t xml:space="preserve"> describe them as geographers. Using commas would imply that we could remove the whole underlined clause without changing the meaning, creating the sentence “Scholars are called geographers,” which excludes other types of scholarship.</w:t>
      </w:r>
    </w:p>
    <w:p w14:paraId="5C7FF99C" w14:textId="77777777" w:rsidR="00297CED" w:rsidRPr="00EA56FB" w:rsidRDefault="00297CED" w:rsidP="00DE6821">
      <w:pPr>
        <w:pStyle w:val="ListParagraph"/>
        <w:numPr>
          <w:ilvl w:val="0"/>
          <w:numId w:val="2"/>
        </w:numPr>
        <w:spacing w:after="120" w:line="276" w:lineRule="auto"/>
        <w:rPr>
          <w:rFonts w:ascii="Arial Nova" w:hAnsi="Arial Nova"/>
          <w:b/>
          <w:bCs/>
          <w:sz w:val="20"/>
          <w:szCs w:val="20"/>
        </w:rPr>
      </w:pPr>
      <w:r w:rsidRPr="00EA56FB">
        <w:rPr>
          <w:rFonts w:ascii="Arial Nova" w:hAnsi="Arial Nova" w:cs="Cambria Math"/>
          <w:b/>
          <w:bCs/>
          <w:sz w:val="20"/>
          <w:szCs w:val="20"/>
        </w:rPr>
        <w:t xml:space="preserve"> Either! But they create different meanings: </w:t>
      </w:r>
      <w:r w:rsidRPr="00EA56FB">
        <w:rPr>
          <w:rFonts w:ascii="Arial Nova" w:hAnsi="Arial Nova" w:cs="Cambria Math"/>
          <w:sz w:val="20"/>
          <w:szCs w:val="20"/>
        </w:rPr>
        <w:t xml:space="preserve"> The sentence “Scholars are often found in academia” can stand alone, so adding commas (making it non-restrictive) would make the clause “who devote their careers to furthering knowledge within their discipline” almost an aside that is being applied to all scholars. Leaving the commas off (making it restrictive) suggests that there is a subset of scholars that devote their careers in this way and that that subset, rather than all scholars, are the ones often found in academia. In cases like this, it is important to consider the nuances of your own intended meaning.</w:t>
      </w:r>
    </w:p>
    <w:p w14:paraId="4A6C477F" w14:textId="77777777" w:rsidR="00940755" w:rsidRDefault="00940755" w:rsidP="00DE6821">
      <w:pPr>
        <w:tabs>
          <w:tab w:val="left" w:pos="4656"/>
        </w:tabs>
        <w:spacing w:after="120"/>
        <w:rPr>
          <w:rFonts w:ascii="Arial Nova" w:hAnsi="Arial Nova"/>
        </w:rPr>
      </w:pPr>
    </w:p>
    <w:p w14:paraId="25A1F844" w14:textId="2470F301" w:rsidR="00EA56FB" w:rsidRPr="00EA56FB" w:rsidRDefault="00312CFC" w:rsidP="00EA56FB">
      <w:pPr>
        <w:pStyle w:val="ListParagraph"/>
        <w:numPr>
          <w:ilvl w:val="0"/>
          <w:numId w:val="3"/>
        </w:numPr>
        <w:tabs>
          <w:tab w:val="left" w:pos="4656"/>
        </w:tabs>
        <w:rPr>
          <w:rFonts w:ascii="Arial Nova" w:hAnsi="Arial Nova"/>
          <w:sz w:val="18"/>
          <w:szCs w:val="18"/>
        </w:rPr>
      </w:pPr>
      <w:r w:rsidRPr="00EA56FB">
        <w:rPr>
          <w:rFonts w:ascii="Arial Nova" w:hAnsi="Arial Nova"/>
          <w:sz w:val="18"/>
          <w:szCs w:val="18"/>
        </w:rPr>
        <w:t>This d</w:t>
      </w:r>
      <w:r w:rsidR="00BF3DC7" w:rsidRPr="00EA56FB">
        <w:rPr>
          <w:rFonts w:ascii="Arial Nova" w:hAnsi="Arial Nova"/>
          <w:sz w:val="18"/>
          <w:szCs w:val="18"/>
        </w:rPr>
        <w:t xml:space="preserve">escription </w:t>
      </w:r>
      <w:r w:rsidRPr="00EA56FB">
        <w:rPr>
          <w:rFonts w:ascii="Arial Nova" w:hAnsi="Arial Nova"/>
          <w:sz w:val="18"/>
          <w:szCs w:val="18"/>
        </w:rPr>
        <w:t xml:space="preserve">comes from </w:t>
      </w:r>
      <w:r w:rsidR="00BF3DC7" w:rsidRPr="00EA56FB">
        <w:rPr>
          <w:rFonts w:ascii="Arial Nova" w:hAnsi="Arial Nova"/>
          <w:sz w:val="18"/>
          <w:szCs w:val="18"/>
        </w:rPr>
        <w:t xml:space="preserve">the </w:t>
      </w:r>
      <w:r w:rsidR="00CE24AD" w:rsidRPr="00EA56FB">
        <w:rPr>
          <w:rFonts w:ascii="Arial Nova" w:hAnsi="Arial Nova"/>
          <w:sz w:val="18"/>
          <w:szCs w:val="18"/>
        </w:rPr>
        <w:t>U.S. BUREAU OF LABOR STATISTICS</w:t>
      </w:r>
      <w:r w:rsidR="008A58EA" w:rsidRPr="00EA56FB">
        <w:rPr>
          <w:rFonts w:ascii="Arial Nova" w:hAnsi="Arial Nova"/>
          <w:sz w:val="18"/>
          <w:szCs w:val="18"/>
        </w:rPr>
        <w:t xml:space="preserve"> Occupational Outlook Handbook</w:t>
      </w:r>
      <w:r w:rsidR="00130E2F" w:rsidRPr="00EA56FB">
        <w:rPr>
          <w:rFonts w:ascii="Arial Nova" w:hAnsi="Arial Nova"/>
          <w:sz w:val="18"/>
          <w:szCs w:val="18"/>
        </w:rPr>
        <w:t xml:space="preserve"> found at</w:t>
      </w:r>
      <w:r w:rsidR="0069438A" w:rsidRPr="00EA56FB">
        <w:rPr>
          <w:rFonts w:ascii="Arial Nova" w:hAnsi="Arial Nova"/>
          <w:sz w:val="18"/>
          <w:szCs w:val="18"/>
        </w:rPr>
        <w:t xml:space="preserve"> https://www.bls.gov/ooh/life-physical-and-social-science/geographers.htm</w:t>
      </w:r>
    </w:p>
    <w:sectPr w:rsidR="00EA56FB" w:rsidRPr="00EA56FB" w:rsidSect="00B31CA1">
      <w:type w:val="continuous"/>
      <w:pgSz w:w="12240" w:h="15840"/>
      <w:pgMar w:top="720" w:right="720" w:bottom="720" w:left="720" w:header="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075E9" w14:textId="77777777" w:rsidR="00AA5670" w:rsidRDefault="00AA5670" w:rsidP="00191D3D">
      <w:r>
        <w:separator/>
      </w:r>
    </w:p>
  </w:endnote>
  <w:endnote w:type="continuationSeparator" w:id="0">
    <w:p w14:paraId="0ED6CACB" w14:textId="77777777" w:rsidR="00AA5670" w:rsidRDefault="00AA5670" w:rsidP="00191D3D">
      <w:r>
        <w:continuationSeparator/>
      </w:r>
    </w:p>
  </w:endnote>
  <w:endnote w:type="continuationNotice" w:id="1">
    <w:p w14:paraId="4EE6E77A" w14:textId="77777777" w:rsidR="00AA5670" w:rsidRDefault="00AA56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F42FB" w14:textId="77777777" w:rsidR="002B39EB" w:rsidRPr="002F7107" w:rsidRDefault="002B39EB" w:rsidP="002F7107">
    <w:pPr>
      <w:pStyle w:val="Footer"/>
      <w:rPr>
        <w:sz w:val="16"/>
        <w:szCs w:val="16"/>
      </w:rPr>
    </w:pPr>
    <w:r>
      <w:rPr>
        <w:noProof/>
        <w:sz w:val="16"/>
        <w:szCs w:val="16"/>
      </w:rPr>
      <w:drawing>
        <wp:inline distT="0" distB="0" distL="0" distR="0" wp14:anchorId="1447B9CF" wp14:editId="50E1CA02">
          <wp:extent cx="6858000" cy="182880"/>
          <wp:effectExtent l="0" t="0" r="0" b="0"/>
          <wp:docPr id="1612714427" name="Picture 31" descr="Resource compiled by Rebecca Bruning, Graduate Writing Center, Texas Tech University.">
            <a:extLst xmlns:a="http://schemas.openxmlformats.org/drawingml/2006/main">
              <a:ext uri="{FF2B5EF4-FFF2-40B4-BE49-F238E27FC236}">
                <a16:creationId xmlns:a16="http://schemas.microsoft.com/office/drawing/2014/main" id="{10BDF4B9-6167-834A-A605-90306D6EBB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595904" name="Picture 31" descr="Resource compiled by Rebecca Bruning, Graduate Writing Center, Texas Tech University."/>
                  <pic:cNvPicPr/>
                </pic:nvPicPr>
                <pic:blipFill>
                  <a:blip r:embed="rId1">
                    <a:extLst>
                      <a:ext uri="{28A0092B-C50C-407E-A947-70E740481C1C}">
                        <a14:useLocalDpi xmlns:a14="http://schemas.microsoft.com/office/drawing/2010/main" val="0"/>
                      </a:ext>
                    </a:extLst>
                  </a:blip>
                  <a:stretch>
                    <a:fillRect/>
                  </a:stretch>
                </pic:blipFill>
                <pic:spPr>
                  <a:xfrm>
                    <a:off x="0" y="0"/>
                    <a:ext cx="6858000" cy="18288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8AB9C" w14:textId="0F745E6D" w:rsidR="00610985" w:rsidRPr="00610985" w:rsidRDefault="00610985" w:rsidP="00610985">
    <w:pPr>
      <w:pStyle w:val="Footer"/>
    </w:pPr>
    <w:r>
      <w:rPr>
        <w:noProof/>
      </w:rPr>
      <w:drawing>
        <wp:inline distT="0" distB="0" distL="0" distR="0" wp14:anchorId="76431877" wp14:editId="5F1C164E">
          <wp:extent cx="6858000" cy="180340"/>
          <wp:effectExtent l="0" t="0" r="0" b="0"/>
          <wp:docPr id="874773255" name="Picture 38" descr="Compiled by Rebecca Bruning, Graduate Writing Center, Texas Tech Universi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773255" name="Picture 38" descr="Compiled by Rebecca Bruning, Graduate Writing Center, Texas Tech University&#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1803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89EA7" w14:textId="77777777" w:rsidR="00AA5670" w:rsidRDefault="00AA5670" w:rsidP="00191D3D">
      <w:r>
        <w:separator/>
      </w:r>
    </w:p>
  </w:footnote>
  <w:footnote w:type="continuationSeparator" w:id="0">
    <w:p w14:paraId="4EAB09B3" w14:textId="77777777" w:rsidR="00AA5670" w:rsidRDefault="00AA5670" w:rsidP="00191D3D">
      <w:r>
        <w:continuationSeparator/>
      </w:r>
    </w:p>
  </w:footnote>
  <w:footnote w:type="continuationNotice" w:id="1">
    <w:p w14:paraId="1B56D71C" w14:textId="77777777" w:rsidR="00AA5670" w:rsidRDefault="00AA56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A0843"/>
    <w:multiLevelType w:val="hybridMultilevel"/>
    <w:tmpl w:val="57166E7E"/>
    <w:lvl w:ilvl="0" w:tplc="75A827E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967546"/>
    <w:multiLevelType w:val="hybridMultilevel"/>
    <w:tmpl w:val="9E26B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1F6911"/>
    <w:multiLevelType w:val="hybridMultilevel"/>
    <w:tmpl w:val="7D362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FF5EFA"/>
    <w:multiLevelType w:val="hybridMultilevel"/>
    <w:tmpl w:val="049AD9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9607D9"/>
    <w:multiLevelType w:val="hybridMultilevel"/>
    <w:tmpl w:val="1FF45B48"/>
    <w:lvl w:ilvl="0" w:tplc="358A4E8C">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22915819">
    <w:abstractNumId w:val="0"/>
  </w:num>
  <w:num w:numId="2" w16cid:durableId="1598783126">
    <w:abstractNumId w:val="4"/>
  </w:num>
  <w:num w:numId="3" w16cid:durableId="1659528506">
    <w:abstractNumId w:val="2"/>
  </w:num>
  <w:num w:numId="4" w16cid:durableId="922954434">
    <w:abstractNumId w:val="3"/>
  </w:num>
  <w:num w:numId="5" w16cid:durableId="297103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8AD"/>
    <w:rsid w:val="00001879"/>
    <w:rsid w:val="00013FF2"/>
    <w:rsid w:val="00015B83"/>
    <w:rsid w:val="0002307F"/>
    <w:rsid w:val="000378A8"/>
    <w:rsid w:val="00053BB2"/>
    <w:rsid w:val="00057F6E"/>
    <w:rsid w:val="00067EE7"/>
    <w:rsid w:val="00084759"/>
    <w:rsid w:val="000915B0"/>
    <w:rsid w:val="000975C5"/>
    <w:rsid w:val="00097FB6"/>
    <w:rsid w:val="000A2830"/>
    <w:rsid w:val="000A3305"/>
    <w:rsid w:val="000C0060"/>
    <w:rsid w:val="000D0B92"/>
    <w:rsid w:val="000D110E"/>
    <w:rsid w:val="000D68A1"/>
    <w:rsid w:val="000E6AEE"/>
    <w:rsid w:val="00100563"/>
    <w:rsid w:val="001040CC"/>
    <w:rsid w:val="001062A6"/>
    <w:rsid w:val="00130E2F"/>
    <w:rsid w:val="00132400"/>
    <w:rsid w:val="00132FCB"/>
    <w:rsid w:val="00136A39"/>
    <w:rsid w:val="00163AC0"/>
    <w:rsid w:val="00171B3B"/>
    <w:rsid w:val="00177AD7"/>
    <w:rsid w:val="00180C23"/>
    <w:rsid w:val="00191D3D"/>
    <w:rsid w:val="00196EB8"/>
    <w:rsid w:val="001A7932"/>
    <w:rsid w:val="001C7D32"/>
    <w:rsid w:val="001D08A1"/>
    <w:rsid w:val="001D3B5E"/>
    <w:rsid w:val="001F3232"/>
    <w:rsid w:val="001F484E"/>
    <w:rsid w:val="00204035"/>
    <w:rsid w:val="00210A54"/>
    <w:rsid w:val="002236BC"/>
    <w:rsid w:val="00231B0A"/>
    <w:rsid w:val="00234B87"/>
    <w:rsid w:val="002476A0"/>
    <w:rsid w:val="0026592D"/>
    <w:rsid w:val="0026594A"/>
    <w:rsid w:val="002734DB"/>
    <w:rsid w:val="00290156"/>
    <w:rsid w:val="00290AF8"/>
    <w:rsid w:val="0029612A"/>
    <w:rsid w:val="00297CED"/>
    <w:rsid w:val="002A3A7D"/>
    <w:rsid w:val="002A77C6"/>
    <w:rsid w:val="002B09F9"/>
    <w:rsid w:val="002B39EB"/>
    <w:rsid w:val="002C1ABF"/>
    <w:rsid w:val="002C53B3"/>
    <w:rsid w:val="002D3C75"/>
    <w:rsid w:val="002E44FB"/>
    <w:rsid w:val="002F7107"/>
    <w:rsid w:val="00302214"/>
    <w:rsid w:val="003026A5"/>
    <w:rsid w:val="003125E1"/>
    <w:rsid w:val="00312CFC"/>
    <w:rsid w:val="0032152B"/>
    <w:rsid w:val="003253EE"/>
    <w:rsid w:val="00325BF9"/>
    <w:rsid w:val="00327F56"/>
    <w:rsid w:val="00335212"/>
    <w:rsid w:val="003353BA"/>
    <w:rsid w:val="0034129F"/>
    <w:rsid w:val="00344510"/>
    <w:rsid w:val="00347AF0"/>
    <w:rsid w:val="00347EB6"/>
    <w:rsid w:val="00347ED9"/>
    <w:rsid w:val="0035289B"/>
    <w:rsid w:val="00354818"/>
    <w:rsid w:val="00363F27"/>
    <w:rsid w:val="0037091F"/>
    <w:rsid w:val="00371431"/>
    <w:rsid w:val="00383021"/>
    <w:rsid w:val="00385199"/>
    <w:rsid w:val="00390931"/>
    <w:rsid w:val="00391909"/>
    <w:rsid w:val="003A1163"/>
    <w:rsid w:val="003B073C"/>
    <w:rsid w:val="003B4D6A"/>
    <w:rsid w:val="003D6170"/>
    <w:rsid w:val="003E55F6"/>
    <w:rsid w:val="003F1D93"/>
    <w:rsid w:val="00401D9B"/>
    <w:rsid w:val="0040776E"/>
    <w:rsid w:val="00411422"/>
    <w:rsid w:val="004206FA"/>
    <w:rsid w:val="00420F7B"/>
    <w:rsid w:val="00432A59"/>
    <w:rsid w:val="004500D4"/>
    <w:rsid w:val="00457F36"/>
    <w:rsid w:val="004712F8"/>
    <w:rsid w:val="00485B37"/>
    <w:rsid w:val="00486977"/>
    <w:rsid w:val="004943AC"/>
    <w:rsid w:val="004A15C3"/>
    <w:rsid w:val="004B1273"/>
    <w:rsid w:val="004B48BB"/>
    <w:rsid w:val="004C0956"/>
    <w:rsid w:val="004D736B"/>
    <w:rsid w:val="004E7DAC"/>
    <w:rsid w:val="004F661B"/>
    <w:rsid w:val="0051028B"/>
    <w:rsid w:val="00515623"/>
    <w:rsid w:val="00523EF3"/>
    <w:rsid w:val="00530A17"/>
    <w:rsid w:val="00531B9E"/>
    <w:rsid w:val="00545EE6"/>
    <w:rsid w:val="00547C5F"/>
    <w:rsid w:val="005518E8"/>
    <w:rsid w:val="00564351"/>
    <w:rsid w:val="00564F20"/>
    <w:rsid w:val="0056700E"/>
    <w:rsid w:val="005703D2"/>
    <w:rsid w:val="005834EC"/>
    <w:rsid w:val="005863BC"/>
    <w:rsid w:val="00597924"/>
    <w:rsid w:val="005A1657"/>
    <w:rsid w:val="005A4D55"/>
    <w:rsid w:val="005B10FD"/>
    <w:rsid w:val="005B37B9"/>
    <w:rsid w:val="005C6F43"/>
    <w:rsid w:val="005D79DC"/>
    <w:rsid w:val="005E1E86"/>
    <w:rsid w:val="005E7AB3"/>
    <w:rsid w:val="005F1309"/>
    <w:rsid w:val="005F1A22"/>
    <w:rsid w:val="005F1C0C"/>
    <w:rsid w:val="005F2DD1"/>
    <w:rsid w:val="005F3890"/>
    <w:rsid w:val="005F6543"/>
    <w:rsid w:val="006038F9"/>
    <w:rsid w:val="00610985"/>
    <w:rsid w:val="00636493"/>
    <w:rsid w:val="006407E2"/>
    <w:rsid w:val="00640D0B"/>
    <w:rsid w:val="006426EC"/>
    <w:rsid w:val="00656220"/>
    <w:rsid w:val="00662253"/>
    <w:rsid w:val="00671398"/>
    <w:rsid w:val="006754C1"/>
    <w:rsid w:val="00683FA5"/>
    <w:rsid w:val="0069438A"/>
    <w:rsid w:val="0069614E"/>
    <w:rsid w:val="006963B5"/>
    <w:rsid w:val="006B4222"/>
    <w:rsid w:val="006B6F04"/>
    <w:rsid w:val="006C424B"/>
    <w:rsid w:val="006D0477"/>
    <w:rsid w:val="006D1FAF"/>
    <w:rsid w:val="006E02F1"/>
    <w:rsid w:val="006E26F7"/>
    <w:rsid w:val="006F2C22"/>
    <w:rsid w:val="00711C14"/>
    <w:rsid w:val="00713B64"/>
    <w:rsid w:val="0071600B"/>
    <w:rsid w:val="007204BA"/>
    <w:rsid w:val="00724485"/>
    <w:rsid w:val="00724872"/>
    <w:rsid w:val="00725319"/>
    <w:rsid w:val="007274FF"/>
    <w:rsid w:val="0075025E"/>
    <w:rsid w:val="00751E9F"/>
    <w:rsid w:val="00764584"/>
    <w:rsid w:val="00766422"/>
    <w:rsid w:val="007807A4"/>
    <w:rsid w:val="00795ABE"/>
    <w:rsid w:val="007A2D32"/>
    <w:rsid w:val="007A4324"/>
    <w:rsid w:val="007A7DE4"/>
    <w:rsid w:val="007B549B"/>
    <w:rsid w:val="007B5D19"/>
    <w:rsid w:val="007C378B"/>
    <w:rsid w:val="007C38B0"/>
    <w:rsid w:val="007F47EA"/>
    <w:rsid w:val="00800377"/>
    <w:rsid w:val="008132EC"/>
    <w:rsid w:val="008229F6"/>
    <w:rsid w:val="0083037F"/>
    <w:rsid w:val="00830459"/>
    <w:rsid w:val="00840B03"/>
    <w:rsid w:val="00851389"/>
    <w:rsid w:val="00852AF2"/>
    <w:rsid w:val="00854BAE"/>
    <w:rsid w:val="00855FBB"/>
    <w:rsid w:val="0085640E"/>
    <w:rsid w:val="00873250"/>
    <w:rsid w:val="00880075"/>
    <w:rsid w:val="008827EE"/>
    <w:rsid w:val="008833D0"/>
    <w:rsid w:val="0089094F"/>
    <w:rsid w:val="00895CE8"/>
    <w:rsid w:val="00897C8A"/>
    <w:rsid w:val="008A4A3B"/>
    <w:rsid w:val="008A58EA"/>
    <w:rsid w:val="008B058A"/>
    <w:rsid w:val="008B243A"/>
    <w:rsid w:val="008B2C12"/>
    <w:rsid w:val="008C04A3"/>
    <w:rsid w:val="008C57CB"/>
    <w:rsid w:val="008D60EA"/>
    <w:rsid w:val="008D79DF"/>
    <w:rsid w:val="008E4064"/>
    <w:rsid w:val="008F33BF"/>
    <w:rsid w:val="008F5AF2"/>
    <w:rsid w:val="00900AB8"/>
    <w:rsid w:val="00916305"/>
    <w:rsid w:val="00940755"/>
    <w:rsid w:val="00946425"/>
    <w:rsid w:val="009640FA"/>
    <w:rsid w:val="00986D5C"/>
    <w:rsid w:val="009A4988"/>
    <w:rsid w:val="009B639A"/>
    <w:rsid w:val="009B722C"/>
    <w:rsid w:val="009B794E"/>
    <w:rsid w:val="009C4EF0"/>
    <w:rsid w:val="009C4FED"/>
    <w:rsid w:val="009C5BD0"/>
    <w:rsid w:val="009C7D85"/>
    <w:rsid w:val="009D731F"/>
    <w:rsid w:val="009E5EA3"/>
    <w:rsid w:val="009F0230"/>
    <w:rsid w:val="009F7C88"/>
    <w:rsid w:val="00A17D5B"/>
    <w:rsid w:val="00A21176"/>
    <w:rsid w:val="00A33298"/>
    <w:rsid w:val="00A46A3F"/>
    <w:rsid w:val="00A55500"/>
    <w:rsid w:val="00A57746"/>
    <w:rsid w:val="00A57FD9"/>
    <w:rsid w:val="00A60693"/>
    <w:rsid w:val="00A6180A"/>
    <w:rsid w:val="00A61A8E"/>
    <w:rsid w:val="00A660ED"/>
    <w:rsid w:val="00A7635C"/>
    <w:rsid w:val="00A76AAB"/>
    <w:rsid w:val="00A83520"/>
    <w:rsid w:val="00A8354D"/>
    <w:rsid w:val="00A83913"/>
    <w:rsid w:val="00A83952"/>
    <w:rsid w:val="00AA5670"/>
    <w:rsid w:val="00AC250D"/>
    <w:rsid w:val="00AC4390"/>
    <w:rsid w:val="00AF41A0"/>
    <w:rsid w:val="00B05AC6"/>
    <w:rsid w:val="00B076CB"/>
    <w:rsid w:val="00B14FC2"/>
    <w:rsid w:val="00B31CA1"/>
    <w:rsid w:val="00B32E8B"/>
    <w:rsid w:val="00B45195"/>
    <w:rsid w:val="00B45951"/>
    <w:rsid w:val="00B5561B"/>
    <w:rsid w:val="00B8084B"/>
    <w:rsid w:val="00B91A1C"/>
    <w:rsid w:val="00BA783B"/>
    <w:rsid w:val="00BB1D4B"/>
    <w:rsid w:val="00BB3CEA"/>
    <w:rsid w:val="00BB6A3C"/>
    <w:rsid w:val="00BC1CD3"/>
    <w:rsid w:val="00BC38EB"/>
    <w:rsid w:val="00BC75F9"/>
    <w:rsid w:val="00BE302C"/>
    <w:rsid w:val="00BE5528"/>
    <w:rsid w:val="00BF3DC7"/>
    <w:rsid w:val="00BF4350"/>
    <w:rsid w:val="00BF504D"/>
    <w:rsid w:val="00BF51E4"/>
    <w:rsid w:val="00BF63BF"/>
    <w:rsid w:val="00C100E4"/>
    <w:rsid w:val="00C14721"/>
    <w:rsid w:val="00C23C2A"/>
    <w:rsid w:val="00C263FC"/>
    <w:rsid w:val="00C268AD"/>
    <w:rsid w:val="00C35607"/>
    <w:rsid w:val="00C37C31"/>
    <w:rsid w:val="00C43D1D"/>
    <w:rsid w:val="00C46993"/>
    <w:rsid w:val="00C50460"/>
    <w:rsid w:val="00C578CF"/>
    <w:rsid w:val="00C66CD5"/>
    <w:rsid w:val="00C67292"/>
    <w:rsid w:val="00C824F2"/>
    <w:rsid w:val="00C97A30"/>
    <w:rsid w:val="00CA52B6"/>
    <w:rsid w:val="00CE24AD"/>
    <w:rsid w:val="00CF3716"/>
    <w:rsid w:val="00CF3769"/>
    <w:rsid w:val="00D02581"/>
    <w:rsid w:val="00D10353"/>
    <w:rsid w:val="00D10543"/>
    <w:rsid w:val="00D12BD6"/>
    <w:rsid w:val="00D13E79"/>
    <w:rsid w:val="00D17075"/>
    <w:rsid w:val="00D23438"/>
    <w:rsid w:val="00D27073"/>
    <w:rsid w:val="00D40850"/>
    <w:rsid w:val="00D4543B"/>
    <w:rsid w:val="00D52DA1"/>
    <w:rsid w:val="00D77255"/>
    <w:rsid w:val="00D8784A"/>
    <w:rsid w:val="00D90071"/>
    <w:rsid w:val="00D96FD2"/>
    <w:rsid w:val="00DB04D5"/>
    <w:rsid w:val="00DB50E1"/>
    <w:rsid w:val="00DB647C"/>
    <w:rsid w:val="00DC724D"/>
    <w:rsid w:val="00DD6B16"/>
    <w:rsid w:val="00DE2C69"/>
    <w:rsid w:val="00DE2F7B"/>
    <w:rsid w:val="00DE6821"/>
    <w:rsid w:val="00DF220B"/>
    <w:rsid w:val="00DF763F"/>
    <w:rsid w:val="00E06A07"/>
    <w:rsid w:val="00E06AAE"/>
    <w:rsid w:val="00E06C8C"/>
    <w:rsid w:val="00E06FB4"/>
    <w:rsid w:val="00E17204"/>
    <w:rsid w:val="00E27EED"/>
    <w:rsid w:val="00E304F8"/>
    <w:rsid w:val="00E51DDA"/>
    <w:rsid w:val="00E54AA8"/>
    <w:rsid w:val="00E55EDC"/>
    <w:rsid w:val="00E63E76"/>
    <w:rsid w:val="00E65D36"/>
    <w:rsid w:val="00E777C3"/>
    <w:rsid w:val="00E85FBC"/>
    <w:rsid w:val="00E936AE"/>
    <w:rsid w:val="00E96181"/>
    <w:rsid w:val="00E96D96"/>
    <w:rsid w:val="00E97406"/>
    <w:rsid w:val="00EA56FB"/>
    <w:rsid w:val="00EA7B2B"/>
    <w:rsid w:val="00EB2974"/>
    <w:rsid w:val="00EC5DF3"/>
    <w:rsid w:val="00EC73D1"/>
    <w:rsid w:val="00ED1C4B"/>
    <w:rsid w:val="00EE2180"/>
    <w:rsid w:val="00EF4073"/>
    <w:rsid w:val="00F141AD"/>
    <w:rsid w:val="00F14274"/>
    <w:rsid w:val="00F17C2D"/>
    <w:rsid w:val="00F23E7F"/>
    <w:rsid w:val="00F244F0"/>
    <w:rsid w:val="00F36305"/>
    <w:rsid w:val="00F470E8"/>
    <w:rsid w:val="00F60EFE"/>
    <w:rsid w:val="00F61734"/>
    <w:rsid w:val="00F7047D"/>
    <w:rsid w:val="00F860B0"/>
    <w:rsid w:val="00F92C8F"/>
    <w:rsid w:val="00F94423"/>
    <w:rsid w:val="00F95A81"/>
    <w:rsid w:val="00FB5C17"/>
    <w:rsid w:val="00FC78E3"/>
    <w:rsid w:val="00FD3529"/>
    <w:rsid w:val="00FD56ED"/>
    <w:rsid w:val="00FD6AF0"/>
    <w:rsid w:val="00FE7F17"/>
    <w:rsid w:val="00FF0FA3"/>
    <w:rsid w:val="00FF5F45"/>
    <w:rsid w:val="0DA8AA9D"/>
    <w:rsid w:val="2CD6AEC4"/>
    <w:rsid w:val="4987725B"/>
    <w:rsid w:val="4BA5994A"/>
    <w:rsid w:val="7A1B19AC"/>
    <w:rsid w:val="7DC1C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31869"/>
  <w15:chartTrackingRefBased/>
  <w15:docId w15:val="{08B99D22-9070-44B6-90DA-BC8BBFE08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68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268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46425"/>
    <w:pPr>
      <w:outlineLvl w:val="2"/>
    </w:pPr>
    <w:rPr>
      <w:rFonts w:ascii="Arial Nova" w:hAnsi="Arial Nova"/>
      <w:b/>
      <w:bCs/>
      <w:color w:val="000000" w:themeColor="text1"/>
      <w:kern w:val="24"/>
    </w:rPr>
  </w:style>
  <w:style w:type="paragraph" w:styleId="Heading4">
    <w:name w:val="heading 4"/>
    <w:basedOn w:val="Normal"/>
    <w:next w:val="Normal"/>
    <w:link w:val="Heading4Char"/>
    <w:uiPriority w:val="9"/>
    <w:semiHidden/>
    <w:unhideWhenUsed/>
    <w:qFormat/>
    <w:rsid w:val="00C268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68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68A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68A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68A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68A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8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268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46425"/>
    <w:rPr>
      <w:rFonts w:ascii="Arial Nova" w:hAnsi="Arial Nova"/>
      <w:b/>
      <w:bCs/>
      <w:color w:val="000000" w:themeColor="text1"/>
      <w:kern w:val="24"/>
    </w:rPr>
  </w:style>
  <w:style w:type="character" w:customStyle="1" w:styleId="Heading4Char">
    <w:name w:val="Heading 4 Char"/>
    <w:basedOn w:val="DefaultParagraphFont"/>
    <w:link w:val="Heading4"/>
    <w:uiPriority w:val="9"/>
    <w:semiHidden/>
    <w:rsid w:val="00C268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68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68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68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68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68AD"/>
    <w:rPr>
      <w:rFonts w:eastAsiaTheme="majorEastAsia" w:cstheme="majorBidi"/>
      <w:color w:val="272727" w:themeColor="text1" w:themeTint="D8"/>
    </w:rPr>
  </w:style>
  <w:style w:type="paragraph" w:styleId="Title">
    <w:name w:val="Title"/>
    <w:basedOn w:val="Normal"/>
    <w:next w:val="Normal"/>
    <w:link w:val="TitleChar"/>
    <w:uiPriority w:val="10"/>
    <w:qFormat/>
    <w:rsid w:val="00C268A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68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68A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68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68A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268AD"/>
    <w:rPr>
      <w:i/>
      <w:iCs/>
      <w:color w:val="404040" w:themeColor="text1" w:themeTint="BF"/>
    </w:rPr>
  </w:style>
  <w:style w:type="paragraph" w:styleId="ListParagraph">
    <w:name w:val="List Paragraph"/>
    <w:basedOn w:val="Normal"/>
    <w:uiPriority w:val="34"/>
    <w:qFormat/>
    <w:rsid w:val="00C268AD"/>
    <w:pPr>
      <w:ind w:left="720"/>
      <w:contextualSpacing/>
    </w:pPr>
  </w:style>
  <w:style w:type="character" w:styleId="IntenseEmphasis">
    <w:name w:val="Intense Emphasis"/>
    <w:basedOn w:val="DefaultParagraphFont"/>
    <w:uiPriority w:val="21"/>
    <w:qFormat/>
    <w:rsid w:val="00C268AD"/>
    <w:rPr>
      <w:i/>
      <w:iCs/>
      <w:color w:val="0F4761" w:themeColor="accent1" w:themeShade="BF"/>
    </w:rPr>
  </w:style>
  <w:style w:type="paragraph" w:styleId="IntenseQuote">
    <w:name w:val="Intense Quote"/>
    <w:basedOn w:val="Normal"/>
    <w:next w:val="Normal"/>
    <w:link w:val="IntenseQuoteChar"/>
    <w:uiPriority w:val="30"/>
    <w:qFormat/>
    <w:rsid w:val="00C268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68AD"/>
    <w:rPr>
      <w:i/>
      <w:iCs/>
      <w:color w:val="0F4761" w:themeColor="accent1" w:themeShade="BF"/>
    </w:rPr>
  </w:style>
  <w:style w:type="character" w:styleId="IntenseReference">
    <w:name w:val="Intense Reference"/>
    <w:basedOn w:val="DefaultParagraphFont"/>
    <w:uiPriority w:val="32"/>
    <w:qFormat/>
    <w:rsid w:val="00C268AD"/>
    <w:rPr>
      <w:b/>
      <w:bCs/>
      <w:smallCaps/>
      <w:color w:val="0F4761" w:themeColor="accent1" w:themeShade="BF"/>
      <w:spacing w:val="5"/>
    </w:rPr>
  </w:style>
  <w:style w:type="paragraph" w:styleId="Header">
    <w:name w:val="header"/>
    <w:basedOn w:val="Normal"/>
    <w:link w:val="HeaderChar"/>
    <w:uiPriority w:val="99"/>
    <w:unhideWhenUsed/>
    <w:rsid w:val="00191D3D"/>
    <w:pPr>
      <w:tabs>
        <w:tab w:val="center" w:pos="4680"/>
        <w:tab w:val="right" w:pos="9360"/>
      </w:tabs>
    </w:pPr>
  </w:style>
  <w:style w:type="character" w:customStyle="1" w:styleId="HeaderChar">
    <w:name w:val="Header Char"/>
    <w:basedOn w:val="DefaultParagraphFont"/>
    <w:link w:val="Header"/>
    <w:uiPriority w:val="99"/>
    <w:rsid w:val="00191D3D"/>
  </w:style>
  <w:style w:type="paragraph" w:styleId="Footer">
    <w:name w:val="footer"/>
    <w:basedOn w:val="Normal"/>
    <w:link w:val="FooterChar"/>
    <w:uiPriority w:val="99"/>
    <w:unhideWhenUsed/>
    <w:rsid w:val="00191D3D"/>
    <w:pPr>
      <w:tabs>
        <w:tab w:val="center" w:pos="4680"/>
        <w:tab w:val="right" w:pos="9360"/>
      </w:tabs>
    </w:pPr>
  </w:style>
  <w:style w:type="character" w:customStyle="1" w:styleId="FooterChar">
    <w:name w:val="Footer Char"/>
    <w:basedOn w:val="DefaultParagraphFont"/>
    <w:link w:val="Footer"/>
    <w:uiPriority w:val="99"/>
    <w:rsid w:val="00191D3D"/>
  </w:style>
  <w:style w:type="character" w:styleId="CommentReference">
    <w:name w:val="annotation reference"/>
    <w:basedOn w:val="DefaultParagraphFont"/>
    <w:uiPriority w:val="99"/>
    <w:semiHidden/>
    <w:unhideWhenUsed/>
    <w:rsid w:val="007807A4"/>
    <w:rPr>
      <w:sz w:val="16"/>
      <w:szCs w:val="16"/>
    </w:rPr>
  </w:style>
  <w:style w:type="paragraph" w:styleId="CommentText">
    <w:name w:val="annotation text"/>
    <w:basedOn w:val="Normal"/>
    <w:link w:val="CommentTextChar"/>
    <w:uiPriority w:val="99"/>
    <w:semiHidden/>
    <w:unhideWhenUsed/>
    <w:rsid w:val="007807A4"/>
    <w:rPr>
      <w:sz w:val="20"/>
      <w:szCs w:val="20"/>
    </w:rPr>
  </w:style>
  <w:style w:type="character" w:customStyle="1" w:styleId="CommentTextChar">
    <w:name w:val="Comment Text Char"/>
    <w:basedOn w:val="DefaultParagraphFont"/>
    <w:link w:val="CommentText"/>
    <w:uiPriority w:val="99"/>
    <w:semiHidden/>
    <w:rsid w:val="007807A4"/>
    <w:rPr>
      <w:sz w:val="20"/>
      <w:szCs w:val="20"/>
    </w:rPr>
  </w:style>
  <w:style w:type="paragraph" w:styleId="CommentSubject">
    <w:name w:val="annotation subject"/>
    <w:basedOn w:val="CommentText"/>
    <w:next w:val="CommentText"/>
    <w:link w:val="CommentSubjectChar"/>
    <w:uiPriority w:val="99"/>
    <w:semiHidden/>
    <w:unhideWhenUsed/>
    <w:rsid w:val="007807A4"/>
    <w:rPr>
      <w:b/>
      <w:bCs/>
    </w:rPr>
  </w:style>
  <w:style w:type="character" w:customStyle="1" w:styleId="CommentSubjectChar">
    <w:name w:val="Comment Subject Char"/>
    <w:basedOn w:val="CommentTextChar"/>
    <w:link w:val="CommentSubject"/>
    <w:uiPriority w:val="99"/>
    <w:semiHidden/>
    <w:rsid w:val="007807A4"/>
    <w:rPr>
      <w:b/>
      <w:bCs/>
      <w:sz w:val="20"/>
      <w:szCs w:val="20"/>
    </w:rPr>
  </w:style>
  <w:style w:type="character" w:styleId="Hyperlink">
    <w:name w:val="Hyperlink"/>
    <w:basedOn w:val="DefaultParagraphFont"/>
    <w:uiPriority w:val="99"/>
    <w:unhideWhenUsed/>
    <w:rsid w:val="00EA56FB"/>
    <w:rPr>
      <w:color w:val="467886" w:themeColor="hyperlink"/>
      <w:u w:val="single"/>
    </w:rPr>
  </w:style>
  <w:style w:type="character" w:styleId="UnresolvedMention">
    <w:name w:val="Unresolved Mention"/>
    <w:basedOn w:val="DefaultParagraphFont"/>
    <w:uiPriority w:val="99"/>
    <w:semiHidden/>
    <w:unhideWhenUsed/>
    <w:rsid w:val="00EA56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76B810D37697458E97831C354CD682" ma:contentTypeVersion="15" ma:contentTypeDescription="Create a new document." ma:contentTypeScope="" ma:versionID="3722704093389daacf9d76cdb78e2535">
  <xsd:schema xmlns:xsd="http://www.w3.org/2001/XMLSchema" xmlns:xs="http://www.w3.org/2001/XMLSchema" xmlns:p="http://schemas.microsoft.com/office/2006/metadata/properties" xmlns:ns2="40139e1f-763c-4224-ab69-142f316c5594" xmlns:ns3="cacfb665-c7a9-4044-95ef-2260b829cb73" targetNamespace="http://schemas.microsoft.com/office/2006/metadata/properties" ma:root="true" ma:fieldsID="0290aa44490d834cce72cf8c66a2a1df" ns2:_="" ns3:_="">
    <xsd:import namespace="40139e1f-763c-4224-ab69-142f316c5594"/>
    <xsd:import namespace="cacfb665-c7a9-4044-95ef-2260b829cb7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139e1f-763c-4224-ab69-142f316c55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7c65ed7-e385-4001-9a0e-797913405518"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fb665-c7a9-4044-95ef-2260b829cb7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8087cdb-acd0-49ef-ae03-5021bf397fa5}" ma:internalName="TaxCatchAll" ma:showField="CatchAllData" ma:web="cacfb665-c7a9-4044-95ef-2260b829cb7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139e1f-763c-4224-ab69-142f316c5594">
      <Terms xmlns="http://schemas.microsoft.com/office/infopath/2007/PartnerControls"/>
    </lcf76f155ced4ddcb4097134ff3c332f>
    <TaxCatchAll xmlns="cacfb665-c7a9-4044-95ef-2260b829cb73" xsi:nil="true"/>
  </documentManagement>
</p:properties>
</file>

<file path=customXml/itemProps1.xml><?xml version="1.0" encoding="utf-8"?>
<ds:datastoreItem xmlns:ds="http://schemas.openxmlformats.org/officeDocument/2006/customXml" ds:itemID="{1EE1796E-E28C-AF47-AD3F-07E2F8857AE5}">
  <ds:schemaRefs>
    <ds:schemaRef ds:uri="http://schemas.openxmlformats.org/officeDocument/2006/bibliography"/>
  </ds:schemaRefs>
</ds:datastoreItem>
</file>

<file path=customXml/itemProps2.xml><?xml version="1.0" encoding="utf-8"?>
<ds:datastoreItem xmlns:ds="http://schemas.openxmlformats.org/officeDocument/2006/customXml" ds:itemID="{5FA3FE4C-FB3B-45D2-8036-28911A7FEB67}">
  <ds:schemaRefs>
    <ds:schemaRef ds:uri="http://schemas.microsoft.com/sharepoint/v3/contenttype/forms"/>
  </ds:schemaRefs>
</ds:datastoreItem>
</file>

<file path=customXml/itemProps3.xml><?xml version="1.0" encoding="utf-8"?>
<ds:datastoreItem xmlns:ds="http://schemas.openxmlformats.org/officeDocument/2006/customXml" ds:itemID="{055FF363-8BA0-4EE0-87FE-EBBEAF1BC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139e1f-763c-4224-ab69-142f316c5594"/>
    <ds:schemaRef ds:uri="cacfb665-c7a9-4044-95ef-2260b829c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8081AE-8EDD-4FD4-9D33-2C962CE24C79}">
  <ds:schemaRefs>
    <ds:schemaRef ds:uri="http://schemas.microsoft.com/office/2006/metadata/properties"/>
    <ds:schemaRef ds:uri="http://schemas.microsoft.com/office/infopath/2007/PartnerControls"/>
    <ds:schemaRef ds:uri="40139e1f-763c-4224-ab69-142f316c5594"/>
    <ds:schemaRef ds:uri="cacfb665-c7a9-4044-95ef-2260b829cb73"/>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855</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5723</CharactersWithSpaces>
  <SharedDoc>false</SharedDoc>
  <HyperlinkBase/>
  <HLinks>
    <vt:vector size="6" baseType="variant">
      <vt:variant>
        <vt:i4>4522030</vt:i4>
      </vt:variant>
      <vt:variant>
        <vt:i4>0</vt:i4>
      </vt:variant>
      <vt:variant>
        <vt:i4>0</vt:i4>
      </vt:variant>
      <vt:variant>
        <vt:i4>5</vt:i4>
      </vt:variant>
      <vt:variant>
        <vt:lpwstr>mailto:Caroline.Hetherington@ttu.edu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Relative Clauses: Restrictive and Non-Restrictive</dc:title>
  <dc:subject>Understanding and differentiating restrictive and non-restrictive clauses</dc:subject>
  <dc:creator>Bruning, Rebecca</dc:creator>
  <cp:keywords>grammar, clauses, writing, restrictive clauses, non-restrictive clauses, Graduate Writing Center</cp:keywords>
  <dc:description/>
  <cp:lastModifiedBy>Hetherington, Caroline</cp:lastModifiedBy>
  <cp:revision>73</cp:revision>
  <cp:lastPrinted>2026-04-21T14:32:00Z</cp:lastPrinted>
  <dcterms:created xsi:type="dcterms:W3CDTF">2024-08-09T17:05:00Z</dcterms:created>
  <dcterms:modified xsi:type="dcterms:W3CDTF">2026-04-21T14:34:00Z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0x010100A476B810D37697458E97831C354CD682</vt:lpwstr>
  </property>
  <property fmtid="{D5CDD505-2E9C-101B-9397-08002B2CF9AE}" pid="3" name="MediaServiceImageTags">
    <vt:lpwstr/>
  </property>
</Properties>
</file>